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28"/>
          <w:szCs w:val="28"/>
        </w:rPr>
      </w:pPr>
      <w:r>
        <w:rPr>
          <w:rFonts w:hint="eastAsia" w:ascii="黑体" w:hAnsi="黑体" w:eastAsia="黑体" w:cs="黑体"/>
          <w:sz w:val="28"/>
          <w:szCs w:val="28"/>
        </w:rPr>
        <w:t>《王戎不取道旁李》（高昕成执教）、《故事二则》（郭婧依执教）评课稿</w:t>
      </w:r>
    </w:p>
    <w:p>
      <w:pPr>
        <w:jc w:val="center"/>
        <w:rPr>
          <w:rFonts w:ascii="宋体" w:hAnsi="宋体" w:eastAsia="宋体" w:cs="宋体"/>
          <w:b/>
          <w:bCs/>
          <w:sz w:val="24"/>
          <w:szCs w:val="24"/>
        </w:rPr>
      </w:pPr>
      <w:r>
        <w:rPr>
          <w:rFonts w:ascii="宋体" w:hAnsi="宋体" w:eastAsia="宋体" w:cs="宋体"/>
          <w:b/>
          <w:bCs/>
          <w:sz w:val="24"/>
          <w:szCs w:val="24"/>
        </w:rPr>
        <w:t>新北区龙虎塘第二实验小学   许阳</w:t>
      </w:r>
    </w:p>
    <w:p>
      <w:pPr>
        <w:ind w:firstLine="480" w:firstLineChars="200"/>
        <w:rPr>
          <w:rFonts w:hint="eastAsia" w:ascii="宋体" w:hAnsi="宋体" w:eastAsia="宋体" w:cs="宋体"/>
          <w:sz w:val="24"/>
          <w:szCs w:val="24"/>
          <w:lang w:val="en-US" w:eastAsia="zh-CN"/>
        </w:rPr>
      </w:pPr>
      <w:r>
        <w:rPr>
          <w:rFonts w:ascii="宋体" w:hAnsi="宋体" w:eastAsia="宋体" w:cs="宋体"/>
          <w:sz w:val="24"/>
          <w:szCs w:val="24"/>
        </w:rPr>
        <w:t>高昕成老师执教了《王戎不取道旁李》一课。教学设计紧扣单元语文要素，目标清晰，定位准确，在多层次的朗读中理清故事内容，利用五个任务情境串联起整篇文章的学习，利用思维导图的形式，引导学生提取关键信息，抓准文中的起因、经过、结果，为进一步的讲故事打下基础。引导学生进行了恰当的语言训练，先从翻译文言文，再到生动地讲故事，最后是个性化的小练笔，以及脱稿再讲故事，难度层层递进，又为学生提供了有效的抓手，降低了写作和表达的难度。</w:t>
      </w:r>
      <w:r>
        <w:rPr>
          <w:rFonts w:hint="eastAsia" w:ascii="宋体" w:hAnsi="宋体" w:eastAsia="宋体" w:cs="宋体"/>
          <w:sz w:val="24"/>
          <w:szCs w:val="24"/>
          <w:lang w:val="en-US" w:eastAsia="zh-CN"/>
        </w:rPr>
        <w:t xml:space="preserve">        </w:t>
      </w:r>
    </w:p>
    <w:p>
      <w:pPr>
        <w:ind w:firstLine="480" w:firstLineChars="200"/>
        <w:rPr>
          <w:rFonts w:ascii="宋体" w:hAnsi="宋体" w:eastAsia="宋体" w:cs="宋体"/>
          <w:sz w:val="24"/>
          <w:szCs w:val="24"/>
        </w:rPr>
      </w:pPr>
      <w:r>
        <w:rPr>
          <w:rFonts w:ascii="宋体" w:hAnsi="宋体" w:eastAsia="宋体" w:cs="宋体"/>
          <w:sz w:val="24"/>
          <w:szCs w:val="24"/>
        </w:rPr>
        <w:t>郭婧依老师执教了《故事二则》一课。在教学《扁鹊治病》这则故事时，难点突出，环节相扣，逻辑清晰。先带领学生从前两个自然段中圈画出关键信息，引导学生概括出病历单上对应的栏目，再由扶到放，完成其他几个自然段的信息搜集和概括，提升了学生归类概括的能力，学生听得专注，扎实有效地提升了这项语文能力。同时关注学生思维品质的提升，引导学生从横向和纵向上反复观察、发现和比较，及时的追问引导学生感悟出扁鹊的人物品质，循循善诱，水到渠成。</w:t>
      </w:r>
    </w:p>
    <w:p>
      <w:pPr>
        <w:ind w:firstLine="480" w:firstLineChars="200"/>
        <w:rPr>
          <w:rFonts w:ascii="宋体" w:hAnsi="宋体" w:eastAsia="宋体" w:cs="宋体"/>
          <w:sz w:val="24"/>
          <w:szCs w:val="24"/>
        </w:rPr>
      </w:pPr>
    </w:p>
    <w:p>
      <w:pPr>
        <w:ind w:firstLine="480" w:firstLineChars="200"/>
        <w:rPr>
          <w:rFonts w:ascii="宋体" w:hAnsi="宋体" w:eastAsia="宋体" w:cs="宋体"/>
          <w:sz w:val="24"/>
          <w:szCs w:val="24"/>
        </w:rPr>
      </w:pPr>
    </w:p>
    <w:p>
      <w:pPr>
        <w:jc w:val="center"/>
        <w:rPr>
          <w:rFonts w:hint="eastAsia" w:ascii="黑体" w:hAnsi="黑体" w:eastAsia="黑体" w:cs="黑体"/>
          <w:sz w:val="28"/>
          <w:szCs w:val="28"/>
        </w:rPr>
      </w:pPr>
      <w:r>
        <w:rPr>
          <w:rFonts w:hint="eastAsia" w:ascii="黑体" w:hAnsi="黑体" w:eastAsia="黑体" w:cs="黑体"/>
          <w:sz w:val="28"/>
          <w:szCs w:val="28"/>
        </w:rPr>
        <w:t>《王戎不取道旁李》（高昕成执教）、《故事二则》（郭婧依执教）评课稿</w:t>
      </w:r>
    </w:p>
    <w:p>
      <w:pPr>
        <w:ind w:firstLine="482" w:firstLineChars="200"/>
        <w:jc w:val="center"/>
        <w:rPr>
          <w:rFonts w:ascii="宋体" w:hAnsi="宋体" w:eastAsia="宋体" w:cs="宋体"/>
          <w:b/>
          <w:bCs/>
          <w:sz w:val="24"/>
          <w:szCs w:val="24"/>
        </w:rPr>
      </w:pPr>
      <w:r>
        <w:rPr>
          <w:rFonts w:ascii="宋体" w:hAnsi="宋体" w:eastAsia="宋体" w:cs="宋体"/>
          <w:b/>
          <w:bCs/>
          <w:sz w:val="24"/>
          <w:szCs w:val="24"/>
        </w:rPr>
        <w:t>新北区飞龙实验小学   陈珊</w:t>
      </w:r>
    </w:p>
    <w:p>
      <w:pPr>
        <w:ind w:firstLine="480" w:firstLineChars="200"/>
        <w:rPr>
          <w:rFonts w:hint="eastAsia" w:ascii="宋体" w:hAnsi="宋体" w:eastAsia="宋体" w:cs="宋体"/>
          <w:sz w:val="24"/>
          <w:szCs w:val="24"/>
          <w:lang w:val="en-US" w:eastAsia="zh-CN"/>
        </w:rPr>
      </w:pPr>
      <w:r>
        <w:rPr>
          <w:rFonts w:ascii="宋体" w:hAnsi="宋体" w:eastAsia="宋体" w:cs="宋体"/>
          <w:sz w:val="24"/>
          <w:szCs w:val="24"/>
        </w:rPr>
        <w:t>高昕成老师执教的《王戎不取道旁李》，创设了“传讲人的”整体情境，激发了学生的兴趣和积极性。整体活动环节设计层次清晰，从读好文言文、理解文言文、复述故事、补白故事等环节，将语文要素融入其中，每一个环节都是为下一环节打下基础，有梯度的教学设计使得活动目标得到了达成。教师在引导学生的过程中有丰富的教育机智，整个教学活动体现了学生的主体性和教师的引导性。</w:t>
      </w:r>
      <w:r>
        <w:rPr>
          <w:rFonts w:hint="eastAsia" w:ascii="宋体" w:hAnsi="宋体" w:eastAsia="宋体" w:cs="宋体"/>
          <w:sz w:val="24"/>
          <w:szCs w:val="24"/>
          <w:lang w:val="en-US" w:eastAsia="zh-CN"/>
        </w:rPr>
        <w:t xml:space="preserve"> </w:t>
      </w:r>
    </w:p>
    <w:p>
      <w:pPr>
        <w:ind w:firstLine="480" w:firstLineChars="200"/>
        <w:rPr>
          <w:rFonts w:ascii="宋体" w:hAnsi="宋体" w:eastAsia="宋体" w:cs="宋体"/>
          <w:sz w:val="24"/>
          <w:szCs w:val="24"/>
        </w:rPr>
      </w:pPr>
      <w:r>
        <w:rPr>
          <w:rFonts w:ascii="宋体" w:hAnsi="宋体" w:eastAsia="宋体" w:cs="宋体"/>
          <w:sz w:val="24"/>
          <w:szCs w:val="24"/>
        </w:rPr>
        <w:t>郭婧依老师执教了《故事二则》，教学设计结合了本单元的“口语交际”和“习作”，在体现了单元教学的整体性。在教学中，有创意的设计了“病历单”，即极大的激发了学生的兴趣又为学生梳理文章，找到关键信息提供了抓手，为学生能够复述故事打下基础。在教学中，郭老师注意细节，提醒学生话说完整，有效的促进了学生语言表达能力的提升。“病历单”让学生能够复述故事，而在对其横向纵向的观察中，则让学生在思考中找到了故事的重点情节，为说清楚故事做了铺垫，使得语文要素得到很好的落实。</w:t>
      </w:r>
    </w:p>
    <w:p>
      <w:pPr>
        <w:ind w:firstLine="480" w:firstLineChars="200"/>
        <w:rPr>
          <w:rFonts w:ascii="宋体" w:hAnsi="宋体" w:eastAsia="宋体" w:cs="宋体"/>
          <w:sz w:val="24"/>
          <w:szCs w:val="24"/>
        </w:rPr>
      </w:pPr>
    </w:p>
    <w:p>
      <w:pPr>
        <w:ind w:firstLine="480" w:firstLineChars="200"/>
        <w:rPr>
          <w:rFonts w:ascii="宋体" w:hAnsi="宋体" w:eastAsia="宋体" w:cs="宋体"/>
          <w:sz w:val="24"/>
          <w:szCs w:val="24"/>
        </w:rPr>
      </w:pPr>
    </w:p>
    <w:p>
      <w:pPr>
        <w:ind w:firstLine="480" w:firstLineChars="200"/>
        <w:rPr>
          <w:rFonts w:ascii="宋体" w:hAnsi="宋体" w:eastAsia="宋体" w:cs="宋体"/>
          <w:sz w:val="24"/>
          <w:szCs w:val="24"/>
        </w:rPr>
      </w:pPr>
    </w:p>
    <w:p>
      <w:pPr>
        <w:ind w:firstLine="480" w:firstLineChars="200"/>
        <w:rPr>
          <w:rFonts w:ascii="宋体" w:hAnsi="宋体" w:eastAsia="宋体" w:cs="宋体"/>
          <w:sz w:val="24"/>
          <w:szCs w:val="24"/>
        </w:rPr>
      </w:pPr>
    </w:p>
    <w:p>
      <w:pPr>
        <w:ind w:firstLine="480" w:firstLineChars="200"/>
        <w:rPr>
          <w:rFonts w:ascii="宋体" w:hAnsi="宋体" w:eastAsia="宋体" w:cs="宋体"/>
          <w:sz w:val="24"/>
          <w:szCs w:val="24"/>
        </w:rPr>
      </w:pPr>
    </w:p>
    <w:p>
      <w:pPr>
        <w:ind w:firstLine="480" w:firstLineChars="200"/>
        <w:rPr>
          <w:rFonts w:ascii="宋体" w:hAnsi="宋体" w:eastAsia="宋体" w:cs="宋体"/>
          <w:sz w:val="24"/>
          <w:szCs w:val="24"/>
        </w:rPr>
      </w:pPr>
    </w:p>
    <w:p>
      <w:pPr>
        <w:rPr>
          <w:rFonts w:ascii="宋体" w:hAnsi="宋体" w:eastAsia="宋体" w:cs="宋体"/>
          <w:sz w:val="24"/>
          <w:szCs w:val="24"/>
        </w:rPr>
      </w:pPr>
    </w:p>
    <w:p>
      <w:pPr>
        <w:rPr>
          <w:rFonts w:ascii="宋体" w:hAnsi="宋体" w:eastAsia="宋体" w:cs="宋体"/>
          <w:sz w:val="24"/>
          <w:szCs w:val="24"/>
        </w:rPr>
      </w:pPr>
    </w:p>
    <w:p>
      <w:pPr>
        <w:jc w:val="center"/>
        <w:rPr>
          <w:rFonts w:hint="eastAsia" w:ascii="黑体" w:hAnsi="黑体" w:eastAsia="黑体" w:cs="黑体"/>
          <w:sz w:val="28"/>
          <w:szCs w:val="28"/>
        </w:rPr>
      </w:pPr>
      <w:r>
        <w:rPr>
          <w:rFonts w:hint="eastAsia" w:ascii="黑体" w:hAnsi="黑体" w:eastAsia="黑体" w:cs="黑体"/>
          <w:sz w:val="28"/>
          <w:szCs w:val="28"/>
        </w:rPr>
        <w:t>《王戎不取道旁李》（高昕成执教）、《故事二则》（郭婧依执教）评课稿</w:t>
      </w:r>
    </w:p>
    <w:p>
      <w:pPr>
        <w:jc w:val="center"/>
        <w:rPr>
          <w:rFonts w:ascii="宋体" w:hAnsi="宋体" w:eastAsia="宋体" w:cs="宋体"/>
          <w:b/>
          <w:bCs/>
          <w:sz w:val="24"/>
          <w:szCs w:val="24"/>
        </w:rPr>
      </w:pPr>
      <w:r>
        <w:rPr>
          <w:rFonts w:ascii="宋体" w:hAnsi="宋体" w:eastAsia="宋体" w:cs="宋体"/>
          <w:b/>
          <w:bCs/>
          <w:sz w:val="24"/>
          <w:szCs w:val="24"/>
        </w:rPr>
        <w:t>常州市龙城小学   李嘉浩</w:t>
      </w:r>
    </w:p>
    <w:p>
      <w:pPr>
        <w:ind w:firstLine="480" w:firstLineChars="200"/>
        <w:rPr>
          <w:rFonts w:ascii="宋体" w:hAnsi="宋体" w:eastAsia="宋体" w:cs="宋体"/>
          <w:sz w:val="24"/>
          <w:szCs w:val="24"/>
        </w:rPr>
      </w:pPr>
      <w:r>
        <w:rPr>
          <w:rFonts w:ascii="宋体" w:hAnsi="宋体" w:eastAsia="宋体" w:cs="宋体"/>
          <w:sz w:val="24"/>
          <w:szCs w:val="24"/>
        </w:rPr>
        <w:t>我感受到两位前辈上课的规范、生动、有趣、理性。本单元的课文脉络清晰，从读俊杰到赏俊杰最后到说俊杰。两位老师都能紧扣单元要素，创设生动情境。无论是高老师利用“故事宣讲员”丰富故事情节。还是郭老师的“病历单”归纳关键信息，都能层层递进，高效推进课堂目标，值得我们学习。</w:t>
      </w:r>
    </w:p>
    <w:p>
      <w:pPr>
        <w:ind w:firstLine="480" w:firstLineChars="200"/>
        <w:rPr>
          <w:rFonts w:ascii="宋体" w:hAnsi="宋体" w:eastAsia="宋体" w:cs="宋体"/>
          <w:sz w:val="24"/>
          <w:szCs w:val="24"/>
        </w:rPr>
      </w:pPr>
      <w:r>
        <w:rPr>
          <w:rFonts w:ascii="宋体" w:hAnsi="宋体" w:eastAsia="宋体" w:cs="宋体"/>
          <w:sz w:val="24"/>
          <w:szCs w:val="24"/>
        </w:rPr>
        <w:t>针对高老师的课，我有了以下思考：首先是“读俊杰”过程中，可以再深入朗读，字词再上扎实一些。其次是在“赏俊杰”时，也可以结合复述，利用转述，“假如你是王戎，假如你是诸儿，你会怎么和家人分享今天发生的事情？”让同学们先评价故事中的人物，充分感受人物形象，激发同学们在复述故事过程中对语言、动作、表情的关注。结合谢攀导师的陈述，最后在呈现“说俊杰”时，仍然要紧扣教学目标，界定好简要复述的概念，才有利于该学段学生的发展。</w:t>
      </w:r>
    </w:p>
    <w:p>
      <w:pPr>
        <w:rPr>
          <w:rFonts w:ascii="宋体" w:hAnsi="宋体" w:eastAsia="宋体" w:cs="宋体"/>
          <w:sz w:val="24"/>
          <w:szCs w:val="24"/>
        </w:rPr>
      </w:pPr>
    </w:p>
    <w:p>
      <w:pPr>
        <w:rPr>
          <w:rFonts w:ascii="宋体" w:hAnsi="宋体" w:eastAsia="宋体" w:cs="宋体"/>
          <w:sz w:val="24"/>
          <w:szCs w:val="24"/>
        </w:rPr>
      </w:pPr>
    </w:p>
    <w:p>
      <w:pPr>
        <w:jc w:val="center"/>
        <w:rPr>
          <w:rFonts w:hint="eastAsia" w:ascii="黑体" w:hAnsi="黑体" w:eastAsia="黑体" w:cs="黑体"/>
          <w:sz w:val="28"/>
          <w:szCs w:val="28"/>
        </w:rPr>
      </w:pPr>
      <w:r>
        <w:rPr>
          <w:rFonts w:hint="eastAsia" w:ascii="黑体" w:hAnsi="黑体" w:eastAsia="黑体" w:cs="黑体"/>
          <w:sz w:val="28"/>
          <w:szCs w:val="28"/>
        </w:rPr>
        <w:t>《王戎不取道旁李》（高昕成执教）、《故事二则》（郭婧依执教）评课稿</w:t>
      </w:r>
    </w:p>
    <w:p>
      <w:pPr>
        <w:jc w:val="center"/>
        <w:rPr>
          <w:rFonts w:ascii="宋体" w:hAnsi="宋体" w:eastAsia="宋体" w:cs="宋体"/>
          <w:b/>
          <w:bCs/>
          <w:sz w:val="24"/>
          <w:szCs w:val="24"/>
        </w:rPr>
      </w:pPr>
      <w:r>
        <w:rPr>
          <w:rFonts w:ascii="宋体" w:hAnsi="宋体" w:eastAsia="宋体" w:cs="宋体"/>
          <w:b/>
          <w:bCs/>
          <w:sz w:val="24"/>
          <w:szCs w:val="24"/>
        </w:rPr>
        <w:t>常州市新北区小河中心小学  巢肖琴</w:t>
      </w:r>
    </w:p>
    <w:p>
      <w:pPr>
        <w:ind w:firstLine="480" w:firstLineChars="200"/>
        <w:rPr>
          <w:rFonts w:ascii="宋体" w:hAnsi="宋体" w:eastAsia="宋体" w:cs="宋体"/>
          <w:sz w:val="24"/>
          <w:szCs w:val="24"/>
        </w:rPr>
      </w:pPr>
      <w:bookmarkStart w:id="0" w:name="_GoBack"/>
      <w:bookmarkEnd w:id="0"/>
      <w:r>
        <w:rPr>
          <w:rFonts w:ascii="宋体" w:hAnsi="宋体" w:eastAsia="宋体" w:cs="宋体"/>
          <w:sz w:val="24"/>
          <w:szCs w:val="24"/>
        </w:rPr>
        <w:t>今天两节课的听课感受概括为三个关键词：有境、有法、有标准。有境：2022版语文新课标指出语文教学应具有情境性，今天两位老师的课堂就很好地体现了这一理念，两位老师执教的都是四年级上册第八单元，本单元语文要素为：了解故事情节，简要复述课文；写一件事，能写出自己的感受。两位老师都创设了争做故事传讲人情境，激发了学生的学习兴趣。有法：两节课的活动设计紧扣要素展开，活动板块清晰有梯度，由易到难，层层递进，在理文脉、住关键、品形象的过程中尝试中讲故事。两位老师在行课过程中都注重方法支架的搭建，高老师引导学生在理解文言文内容的基础上运用思维导图梳理故事框架，郭老师则运用病历单引导学生梳理故事情节。有标准：两节课中泰山小学的同学们自信地说、大方地讲，两位老师在复述故事的环节中都设计了星级评价表，给说和评的同学提供了维度，同时也体现了新课标中教学评一体化的要求。</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jOTQxYzhjODMyMDAzZmE0MDJkMWFkNmJlNDkwYTUifQ=="/>
  </w:docVars>
  <w:rsids>
    <w:rsidRoot w:val="00000000"/>
    <w:rsid w:val="155601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2024-03-22T12:10:09Z</dcterms:created>
  <dc:creator>admin</dc:creator>
  <cp:lastModifiedBy>横槊赋诗</cp:lastModifiedBy>
  <dcterms:modified xsi:type="dcterms:W3CDTF">2024-03-22T12:22:26Z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6ABE7A12F7FA48A4B576D54A7A3D332A_12</vt:lpwstr>
  </property>
</Properties>
</file>