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070A04">
      <w:pPr>
        <w:widowControl w:val="0"/>
        <w:numPr>
          <w:ilvl w:val="0"/>
          <w:numId w:val="0"/>
        </w:numPr>
        <w:ind w:leftChars="0"/>
        <w:jc w:val="center"/>
        <w:rPr>
          <w:rFonts w:hint="eastAsia"/>
          <w:sz w:val="24"/>
          <w:szCs w:val="32"/>
          <w:lang w:val="en-US" w:eastAsia="zh-CN"/>
        </w:rPr>
      </w:pPr>
      <w:r>
        <w:rPr>
          <w:rFonts w:hint="eastAsia" w:ascii="Times New Roman" w:eastAsia="宋体"/>
          <w:sz w:val="24"/>
          <w:szCs w:val="32"/>
          <w:lang w:val="en-US" w:eastAsia="zh-CN"/>
        </w:rPr>
        <w:t>《“文学阅读与创意表达”学习任务群读写进阶之路》</w:t>
      </w:r>
      <w:bookmarkStart w:id="0" w:name="_GoBack"/>
      <w:bookmarkEnd w:id="0"/>
    </w:p>
    <w:p w14:paraId="64C0EE6A">
      <w:pPr>
        <w:widowControl w:val="0"/>
        <w:numPr>
          <w:ilvl w:val="0"/>
          <w:numId w:val="1"/>
        </w:numPr>
        <w:ind w:leftChars="0"/>
        <w:jc w:val="both"/>
        <w:rPr>
          <w:rFonts w:hint="eastAsia"/>
          <w:lang w:val="en-US" w:eastAsia="zh-CN"/>
        </w:rPr>
      </w:pPr>
      <w:r>
        <w:rPr>
          <w:rFonts w:hint="eastAsia" w:ascii="Times New Roman" w:eastAsia="宋体"/>
          <w:lang w:val="en-US" w:eastAsia="zh-CN"/>
        </w:rPr>
        <w:t>基本内涵与价值取向</w:t>
      </w:r>
    </w:p>
    <w:p w14:paraId="2D88BE3D"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 w:ascii="Times New Roman" w:hAnsi="Times New Roman" w:eastAsia="宋体" w:cs="Times New Roman"/>
          <w:kern w:val="2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Cs w:val="24"/>
          <w:lang w:val="en-US" w:eastAsia="zh-CN" w:bidi="ar-SA"/>
        </w:rPr>
        <w:t>从学习的途径来看，所有的任务群都强调的是一个语言的实践</w:t>
      </w:r>
      <w:r>
        <w:rPr>
          <w:rFonts w:hint="eastAsia" w:cs="Times New Roman"/>
          <w:kern w:val="2"/>
          <w:szCs w:val="24"/>
          <w:lang w:val="en-US" w:eastAsia="zh-CN" w:bidi="ar-SA"/>
        </w:rPr>
        <w:t>；从</w:t>
      </w:r>
      <w:r>
        <w:rPr>
          <w:rFonts w:hint="eastAsia" w:ascii="Times New Roman" w:hAnsi="Times New Roman" w:eastAsia="宋体" w:cs="Times New Roman"/>
          <w:kern w:val="2"/>
          <w:szCs w:val="24"/>
          <w:lang w:val="en-US" w:eastAsia="zh-CN" w:bidi="ar-SA"/>
        </w:rPr>
        <w:t>学习方式来看</w:t>
      </w:r>
      <w:r>
        <w:rPr>
          <w:rFonts w:hint="eastAsia" w:cs="Times New Roman"/>
          <w:kern w:val="2"/>
          <w:szCs w:val="24"/>
          <w:lang w:val="en-US" w:eastAsia="zh-CN" w:bidi="ar-SA"/>
        </w:rPr>
        <w:t>，最常用的</w:t>
      </w:r>
      <w:r>
        <w:rPr>
          <w:rFonts w:hint="eastAsia" w:ascii="Times New Roman" w:hAnsi="Times New Roman" w:eastAsia="宋体" w:cs="Times New Roman"/>
          <w:kern w:val="2"/>
          <w:szCs w:val="24"/>
          <w:lang w:val="en-US" w:eastAsia="zh-CN" w:bidi="ar-SA"/>
        </w:rPr>
        <w:t>就是感性体验</w:t>
      </w:r>
      <w:r>
        <w:rPr>
          <w:rFonts w:hint="eastAsia" w:cs="Times New Roman"/>
          <w:kern w:val="2"/>
          <w:szCs w:val="24"/>
          <w:lang w:val="en-US" w:eastAsia="zh-CN" w:bidi="ar-SA"/>
        </w:rPr>
        <w:t>；</w:t>
      </w:r>
      <w:r>
        <w:rPr>
          <w:rFonts w:hint="eastAsia" w:ascii="Times New Roman" w:hAnsi="Times New Roman" w:eastAsia="宋体" w:cs="Times New Roman"/>
          <w:kern w:val="2"/>
          <w:szCs w:val="24"/>
          <w:lang w:val="en-US" w:eastAsia="zh-CN" w:bidi="ar-SA"/>
        </w:rPr>
        <w:t>从学习角结果来看，它强调的是审美品位</w:t>
      </w:r>
      <w:r>
        <w:rPr>
          <w:rFonts w:hint="eastAsia" w:cs="Times New Roman"/>
          <w:kern w:val="2"/>
          <w:szCs w:val="24"/>
          <w:lang w:val="en-US" w:eastAsia="zh-CN" w:bidi="ar-SA"/>
        </w:rPr>
        <w:t>。我们必须</w:t>
      </w:r>
      <w:r>
        <w:rPr>
          <w:rFonts w:hint="eastAsia" w:ascii="Times New Roman" w:hAnsi="Times New Roman" w:eastAsia="宋体" w:cs="Times New Roman"/>
          <w:kern w:val="2"/>
          <w:szCs w:val="24"/>
          <w:lang w:val="en-US" w:eastAsia="zh-CN" w:bidi="ar-SA"/>
        </w:rPr>
        <w:t>要关注儿童的审美经验，审美能力和审美观念三个方面，这三个是循环互动相互促进的，因此这个文学阅读与创意表达任务群就有了独特的一个育人价值。</w:t>
      </w:r>
    </w:p>
    <w:p w14:paraId="3E6FE8E3"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 w:ascii="Times New Roman" w:hAnsi="Times New Roman" w:eastAsia="宋体" w:cs="Times New Roman"/>
          <w:kern w:val="2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Cs w:val="24"/>
          <w:lang w:val="en-US" w:eastAsia="zh-CN" w:bidi="ar-SA"/>
        </w:rPr>
        <w:t>任务群在设定的时候，指向是不一样的，比如说实用性阅读与交流，它是强调是一种工具性，然后</w:t>
      </w:r>
      <w:r>
        <w:rPr>
          <w:rFonts w:hint="eastAsia" w:cs="Times New Roman"/>
          <w:kern w:val="2"/>
          <w:szCs w:val="24"/>
          <w:lang w:val="en-US" w:eastAsia="zh-CN" w:bidi="ar-SA"/>
        </w:rPr>
        <w:t>思辨性</w:t>
      </w:r>
      <w:r>
        <w:rPr>
          <w:rFonts w:hint="eastAsia" w:ascii="Times New Roman" w:hAnsi="Times New Roman" w:eastAsia="宋体" w:cs="Times New Roman"/>
          <w:kern w:val="2"/>
          <w:szCs w:val="24"/>
          <w:lang w:val="en-US" w:eastAsia="zh-CN" w:bidi="ar-SA"/>
        </w:rPr>
        <w:t>阅读是一种科学性，讲究的是求真</w:t>
      </w:r>
      <w:r>
        <w:rPr>
          <w:rFonts w:hint="eastAsia" w:cs="Times New Roman"/>
          <w:kern w:val="2"/>
          <w:szCs w:val="24"/>
          <w:lang w:val="en-US" w:eastAsia="zh-CN" w:bidi="ar-SA"/>
        </w:rPr>
        <w:t>、</w:t>
      </w:r>
      <w:r>
        <w:rPr>
          <w:rFonts w:hint="eastAsia" w:ascii="Times New Roman" w:hAnsi="Times New Roman" w:eastAsia="宋体" w:cs="Times New Roman"/>
          <w:kern w:val="2"/>
          <w:szCs w:val="24"/>
          <w:lang w:val="en-US" w:eastAsia="zh-CN" w:bidi="ar-SA"/>
        </w:rPr>
        <w:t>创新，然后文学阅读与创意表达它强调的是人文性的创作</w:t>
      </w:r>
      <w:r>
        <w:rPr>
          <w:rFonts w:hint="eastAsia" w:cs="Times New Roman"/>
          <w:kern w:val="2"/>
          <w:szCs w:val="24"/>
          <w:lang w:val="en-US" w:eastAsia="zh-CN" w:bidi="ar-SA"/>
        </w:rPr>
        <w:t>、</w:t>
      </w:r>
      <w:r>
        <w:rPr>
          <w:rFonts w:hint="eastAsia" w:ascii="Times New Roman" w:hAnsi="Times New Roman" w:eastAsia="宋体" w:cs="Times New Roman"/>
          <w:kern w:val="2"/>
          <w:szCs w:val="24"/>
          <w:lang w:val="en-US" w:eastAsia="zh-CN" w:bidi="ar-SA"/>
        </w:rPr>
        <w:t>审美，所以导致了能力表征的不一样，</w:t>
      </w:r>
    </w:p>
    <w:p w14:paraId="3342F18E">
      <w:pPr>
        <w:widowControl w:val="0"/>
        <w:numPr>
          <w:ilvl w:val="0"/>
          <w:numId w:val="1"/>
        </w:numPr>
        <w:ind w:leftChars="0"/>
        <w:jc w:val="both"/>
        <w:rPr>
          <w:rFonts w:hint="default"/>
          <w:lang w:val="en-US" w:eastAsia="zh-CN"/>
        </w:rPr>
      </w:pPr>
      <w:r>
        <w:rPr>
          <w:rFonts w:hint="eastAsia" w:ascii="Times New Roman" w:eastAsia="宋体"/>
          <w:lang w:val="en-US" w:eastAsia="zh-CN"/>
        </w:rPr>
        <w:t>读写进阶之路</w:t>
      </w:r>
    </w:p>
    <w:p w14:paraId="1AD9DDC7">
      <w:pPr>
        <w:widowControl w:val="0"/>
        <w:numPr>
          <w:ilvl w:val="0"/>
          <w:numId w:val="2"/>
        </w:numPr>
        <w:jc w:val="left"/>
        <w:rPr>
          <w:rFonts w:hint="eastAsia"/>
          <w:lang w:val="en-US" w:eastAsia="zh-CN"/>
        </w:rPr>
      </w:pPr>
      <w:r>
        <w:rPr>
          <w:rFonts w:hint="eastAsia" w:ascii="Times New Roman" w:eastAsia="宋体"/>
          <w:lang w:val="en-US" w:eastAsia="zh-CN"/>
        </w:rPr>
        <w:t>必要性</w:t>
      </w:r>
    </w:p>
    <w:p w14:paraId="354D39DA">
      <w:pPr>
        <w:widowControl w:val="0"/>
        <w:numPr>
          <w:ilvl w:val="0"/>
          <w:numId w:val="2"/>
        </w:numPr>
        <w:jc w:val="left"/>
        <w:rPr>
          <w:rFonts w:hint="default"/>
          <w:lang w:val="en-US" w:eastAsia="zh-CN"/>
        </w:rPr>
      </w:pPr>
      <w:r>
        <w:rPr>
          <w:rFonts w:hint="eastAsia" w:ascii="Times New Roman" w:eastAsia="宋体"/>
          <w:lang w:val="en-US" w:eastAsia="zh-CN"/>
        </w:rPr>
        <w:t>具体路径</w:t>
      </w:r>
    </w:p>
    <w:p w14:paraId="4D8666E0">
      <w:pPr>
        <w:widowControl w:val="0"/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2667635" cy="744855"/>
            <wp:effectExtent l="0" t="0" r="18415" b="17145"/>
            <wp:docPr id="2" name="图片 2" descr="(Y219$UEWJE$TUWF6}O_A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(Y219$UEWJE$TUWF6}O_AE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67635" cy="744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9FB8DF">
      <w:pPr>
        <w:widowControl w:val="0"/>
        <w:numPr>
          <w:ilvl w:val="0"/>
          <w:numId w:val="0"/>
        </w:numPr>
        <w:jc w:val="both"/>
        <w:rPr>
          <w:rFonts w:hint="eastAsia" w:ascii="Times New Roman" w:hAnsi="Times New Roman" w:eastAsia="宋体" w:cs="Times New Roman"/>
          <w:kern w:val="2"/>
          <w:szCs w:val="24"/>
          <w:lang w:val="en-US" w:eastAsia="zh-CN" w:bidi="ar-SA"/>
        </w:rPr>
      </w:pPr>
    </w:p>
    <w:p w14:paraId="4B99B9B1">
      <w:pPr>
        <w:widowControl w:val="0"/>
        <w:numPr>
          <w:ilvl w:val="0"/>
          <w:numId w:val="0"/>
        </w:numPr>
        <w:jc w:val="both"/>
        <w:rPr>
          <w:rFonts w:hint="eastAsia" w:ascii="Times New Roman" w:hAnsi="Times New Roman" w:eastAsia="宋体" w:cs="Times New Roman"/>
          <w:kern w:val="2"/>
          <w:szCs w:val="24"/>
          <w:lang w:val="en-US" w:eastAsia="zh-CN" w:bidi="ar-SA"/>
        </w:rPr>
      </w:pPr>
      <w:r>
        <w:rPr>
          <w:rFonts w:hint="eastAsia" w:cs="Times New Roman"/>
          <w:kern w:val="2"/>
          <w:szCs w:val="24"/>
          <w:lang w:val="en-US" w:eastAsia="zh-CN" w:bidi="ar-SA"/>
        </w:rPr>
        <w:t>（3）两种类型</w:t>
      </w:r>
    </w:p>
    <w:p w14:paraId="0CC6784B"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default"/>
          <w:lang w:val="en-US" w:eastAsia="zh-CN"/>
        </w:rPr>
      </w:pPr>
      <w:r>
        <w:rPr>
          <w:rFonts w:hint="eastAsia" w:ascii="Times New Roman" w:hAnsi="Times New Roman" w:eastAsia="宋体" w:cs="Times New Roman"/>
          <w:kern w:val="2"/>
          <w:szCs w:val="24"/>
          <w:lang w:val="en-US" w:eastAsia="zh-CN" w:bidi="ar-SA"/>
        </w:rPr>
        <w:t>第一种是单元整体架构，比如说将以人文主题为中心，把其他全部架构起来，来创造一个情境任务，然后把阅读的课文口语交际园地和习作内容全部进行一个整合，第二种是部分关联，以单元习作为核心点，然后跟进行关联，看看谁能跟单元习作匹配起来，</w:t>
      </w:r>
      <w:r>
        <w:rPr>
          <w:rFonts w:hint="eastAsia" w:cs="Times New Roman"/>
          <w:kern w:val="2"/>
          <w:szCs w:val="24"/>
          <w:lang w:val="en-US" w:eastAsia="zh-CN" w:bidi="ar-SA"/>
        </w:rPr>
        <w:t>可以</w:t>
      </w:r>
      <w:r>
        <w:rPr>
          <w:rFonts w:hint="eastAsia" w:ascii="Times New Roman" w:hAnsi="Times New Roman" w:eastAsia="宋体" w:cs="Times New Roman"/>
          <w:kern w:val="2"/>
          <w:szCs w:val="24"/>
          <w:lang w:val="en-US" w:eastAsia="zh-CN" w:bidi="ar-SA"/>
        </w:rPr>
        <w:t>把顺序进行调换，精读课文，包括略读课文，语文园地、口语交际都能把它形成关联，</w:t>
      </w:r>
    </w:p>
    <w:p w14:paraId="026A09EC">
      <w:pPr>
        <w:widowControl w:val="0"/>
        <w:numPr>
          <w:ilvl w:val="0"/>
          <w:numId w:val="1"/>
        </w:numPr>
        <w:ind w:leftChars="0"/>
        <w:jc w:val="both"/>
        <w:rPr>
          <w:rFonts w:hint="default"/>
          <w:lang w:val="en-US" w:eastAsia="zh-CN"/>
        </w:rPr>
      </w:pPr>
      <w:r>
        <w:rPr>
          <w:rFonts w:hint="eastAsia" w:ascii="Times New Roman" w:eastAsia="宋体"/>
          <w:lang w:val="en-US" w:eastAsia="zh-CN"/>
        </w:rPr>
        <w:t>具体案例分享</w:t>
      </w:r>
    </w:p>
    <w:p w14:paraId="5291911E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 w:ascii="Times New Roman" w:eastAsia="宋体"/>
          <w:lang w:val="en-US" w:eastAsia="zh-CN"/>
        </w:rPr>
        <w:t xml:space="preserve">    三下第八单元整体架构——开展班级故事会；</w:t>
      </w:r>
    </w:p>
    <w:p w14:paraId="4C25BFF1"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/>
          <w:lang w:val="en-US" w:eastAsia="zh-CN"/>
        </w:rPr>
      </w:pPr>
      <w:r>
        <w:rPr>
          <w:rFonts w:hint="eastAsia" w:ascii="Times New Roman" w:eastAsia="宋体"/>
          <w:lang w:val="en-US" w:eastAsia="zh-CN"/>
        </w:rPr>
        <w:t>三下第六单元从习作中人物小称号入手将《剃头大师》和《我不能失信》进行关联教学。</w:t>
      </w:r>
    </w:p>
    <w:p w14:paraId="32D66F4C"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 w:ascii="Times New Roman" w:eastAsia="宋体"/>
          <w:lang w:val="en-US" w:eastAsia="zh-CN"/>
        </w:rPr>
        <w:t>本次课例评价</w:t>
      </w:r>
    </w:p>
    <w:p w14:paraId="52D93A21">
      <w:pPr>
        <w:widowControl w:val="0"/>
        <w:numPr>
          <w:ilvl w:val="0"/>
          <w:numId w:val="3"/>
        </w:numPr>
        <w:ind w:left="42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 w:ascii="Times New Roman" w:eastAsia="宋体"/>
          <w:lang w:val="en-US" w:eastAsia="zh-CN"/>
        </w:rPr>
        <w:t>进行整体架构</w:t>
      </w:r>
    </w:p>
    <w:p w14:paraId="0443BBB3">
      <w:pPr>
        <w:widowControl w:val="0"/>
        <w:numPr>
          <w:ilvl w:val="0"/>
          <w:numId w:val="3"/>
        </w:numPr>
        <w:ind w:left="420" w:leftChars="0" w:firstLine="0" w:firstLineChars="0"/>
        <w:jc w:val="both"/>
        <w:rPr>
          <w:rFonts w:hint="default"/>
          <w:lang w:val="en-US" w:eastAsia="zh-CN"/>
        </w:rPr>
      </w:pPr>
      <w:r>
        <w:rPr>
          <w:rFonts w:hint="eastAsia" w:cs="Times New Roman"/>
          <w:kern w:val="2"/>
          <w:szCs w:val="24"/>
          <w:lang w:val="en-US" w:eastAsia="zh-CN" w:bidi="ar-SA"/>
        </w:rPr>
        <w:t>关联</w:t>
      </w:r>
      <w:r>
        <w:rPr>
          <w:rFonts w:hint="eastAsia" w:ascii="Times New Roman" w:hAnsi="Times New Roman" w:eastAsia="宋体" w:cs="Times New Roman"/>
          <w:kern w:val="2"/>
          <w:szCs w:val="24"/>
          <w:lang w:val="en-US" w:eastAsia="zh-CN" w:bidi="ar-SA"/>
        </w:rPr>
        <w:t>语文要素和文本内容</w:t>
      </w:r>
    </w:p>
    <w:p w14:paraId="4DD8DB5B">
      <w:pPr>
        <w:widowControl w:val="0"/>
        <w:numPr>
          <w:ilvl w:val="0"/>
          <w:numId w:val="3"/>
        </w:numPr>
        <w:ind w:left="420" w:leftChars="0" w:firstLine="0" w:firstLineChars="0"/>
        <w:jc w:val="both"/>
        <w:rPr>
          <w:rFonts w:hint="default"/>
          <w:lang w:val="en-US" w:eastAsia="zh-CN"/>
        </w:rPr>
      </w:pPr>
      <w:r>
        <w:rPr>
          <w:rFonts w:hint="eastAsia" w:cs="Times New Roman"/>
          <w:kern w:val="2"/>
          <w:szCs w:val="24"/>
          <w:lang w:val="en-US" w:eastAsia="zh-CN" w:bidi="ar-SA"/>
        </w:rPr>
        <w:t>确定教学目标、教学活动</w:t>
      </w:r>
    </w:p>
    <w:p w14:paraId="4B29E5D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E2E8B1E"/>
    <w:multiLevelType w:val="singleLevel"/>
    <w:tmpl w:val="9E2E8B1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E3EFA14"/>
    <w:multiLevelType w:val="singleLevel"/>
    <w:tmpl w:val="DE3EFA14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68BECD90"/>
    <w:multiLevelType w:val="singleLevel"/>
    <w:tmpl w:val="68BECD90"/>
    <w:lvl w:ilvl="0" w:tentative="0">
      <w:start w:val="1"/>
      <w:numFmt w:val="decimal"/>
      <w:suff w:val="nothing"/>
      <w:lvlText w:val="（%1）"/>
      <w:lvlJc w:val="left"/>
      <w:pPr>
        <w:ind w:left="420" w:leftChars="0" w:firstLine="0" w:firstLineChars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JmZmU1NDI2YmY3OTY5Y2JiNmY4ZTMxY2NhNDZjNzMifQ=="/>
  </w:docVars>
  <w:rsids>
    <w:rsidRoot w:val="00000000"/>
    <w:rsid w:val="04CB4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安分</cp:lastModifiedBy>
  <dcterms:modified xsi:type="dcterms:W3CDTF">2024-06-17T05:21:00Z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C5F8E3DEC7794214BAB1F74F7BA42818_12</vt:lpwstr>
  </property>
</Properties>
</file>