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C5172B9">
      <w:pPr>
        <w:pStyle w:val="2"/>
        <w:spacing w:before="133" w:beforeAutospacing="0" w:afterAutospacing="0" w:line="180" w:lineRule="auto"/>
        <w:ind w:left="1080"/>
        <w:rPr>
          <w:rFonts w:hint="default"/>
          <w:sz w:val="21"/>
          <w:szCs w:val="21"/>
        </w:rPr>
      </w:pPr>
      <w:r>
        <w:rPr>
          <w:rFonts w:ascii="黑体" w:eastAsia="黑体" w:cs="黑体"/>
          <w:color w:val="000000"/>
          <w:spacing w:val="9"/>
          <w:sz w:val="31"/>
          <w:szCs w:val="31"/>
        </w:rPr>
        <w:t>新北区林燕群“雁行”卓越班主任成长营活动简报</w:t>
      </w:r>
    </w:p>
    <w:p w14:paraId="5253A522">
      <w:pPr>
        <w:pStyle w:val="2"/>
        <w:spacing w:before="164" w:beforeAutospacing="0" w:afterAutospacing="0" w:line="223" w:lineRule="auto"/>
        <w:ind w:left="3825"/>
        <w:rPr>
          <w:rFonts w:hint="default"/>
          <w:sz w:val="21"/>
          <w:szCs w:val="21"/>
        </w:rPr>
      </w:pPr>
      <w:r>
        <w:rPr>
          <w:rFonts w:ascii="黑体" w:eastAsia="黑体" w:cs="黑体"/>
          <w:color w:val="000000"/>
          <w:spacing w:val="1"/>
          <w:sz w:val="31"/>
          <w:szCs w:val="31"/>
        </w:rPr>
        <w:t>（第1</w:t>
      </w:r>
      <w:r>
        <w:rPr>
          <w:rFonts w:hint="eastAsia" w:ascii="黑体" w:eastAsia="黑体" w:cs="黑体"/>
          <w:color w:val="000000"/>
          <w:spacing w:val="1"/>
          <w:sz w:val="31"/>
          <w:szCs w:val="31"/>
          <w:lang w:val="en-US" w:eastAsia="zh-CN"/>
        </w:rPr>
        <w:t>9</w:t>
      </w:r>
      <w:r>
        <w:rPr>
          <w:rFonts w:ascii="黑体" w:eastAsia="黑体" w:cs="黑体"/>
          <w:color w:val="000000"/>
          <w:spacing w:val="1"/>
          <w:sz w:val="31"/>
          <w:szCs w:val="31"/>
        </w:rPr>
        <w:t>期）</w:t>
      </w:r>
    </w:p>
    <w:p w14:paraId="17E79406">
      <w:pPr>
        <w:pStyle w:val="9"/>
        <w:widowControl/>
        <w:spacing w:before="1" w:line="227" w:lineRule="auto"/>
        <w:rPr>
          <w:rFonts w:hint="eastAsia" w:ascii="微软雅黑" w:hAnsi="微软雅黑" w:eastAsia="微软雅黑" w:cs="微软雅黑"/>
          <w:color w:val="000000"/>
          <w:spacing w:val="-12"/>
        </w:rPr>
      </w:pPr>
      <w:r>
        <w:rPr>
          <w:rFonts w:ascii="微软雅黑" w:hAnsi="微软雅黑" w:eastAsia="微软雅黑" w:cs="微软雅黑"/>
          <w:color w:val="FF0000"/>
          <w:spacing w:val="-8"/>
          <w:sz w:val="28"/>
          <w:szCs w:val="28"/>
        </w:rPr>
        <w:t>【一</w:t>
      </w:r>
      <w:r>
        <w:rPr>
          <w:rFonts w:hint="eastAsia" w:ascii="微软雅黑" w:hAnsi="微软雅黑" w:eastAsia="微软雅黑" w:cs="微软雅黑"/>
          <w:color w:val="FF0000"/>
          <w:spacing w:val="-8"/>
          <w:sz w:val="28"/>
          <w:szCs w:val="28"/>
        </w:rPr>
        <w:t>、活动通知】</w:t>
      </w:r>
      <w:r>
        <w:rPr>
          <w:rFonts w:hint="eastAsia" w:ascii="微软雅黑" w:hAnsi="微软雅黑" w:eastAsia="微软雅黑" w:cs="微软雅黑"/>
          <w:color w:val="000000"/>
          <w:spacing w:val="-12"/>
        </w:rPr>
        <w:t>（附：区网网址及截图）</w:t>
      </w:r>
    </w:p>
    <w:p w14:paraId="7A1127C4">
      <w:pPr>
        <w:pStyle w:val="9"/>
        <w:widowControl/>
        <w:spacing w:before="1" w:line="227" w:lineRule="auto"/>
        <w:rPr>
          <w:rFonts w:hint="eastAsia" w:ascii="微软雅黑" w:hAnsi="微软雅黑" w:eastAsia="微软雅黑" w:cs="微软雅黑"/>
          <w:color w:val="000000"/>
          <w:spacing w:val="-12"/>
        </w:rPr>
      </w:pPr>
      <w:r>
        <w:rPr>
          <w:rFonts w:hint="eastAsia" w:ascii="微软雅黑" w:hAnsi="微软雅黑" w:eastAsia="微软雅黑" w:cs="微软雅黑"/>
          <w:color w:val="000000"/>
          <w:spacing w:val="-12"/>
        </w:rPr>
        <w:fldChar w:fldCharType="begin"/>
      </w:r>
      <w:r>
        <w:rPr>
          <w:rFonts w:hint="eastAsia" w:ascii="微软雅黑" w:hAnsi="微软雅黑" w:eastAsia="微软雅黑" w:cs="微软雅黑"/>
          <w:color w:val="000000"/>
          <w:spacing w:val="-12"/>
        </w:rPr>
        <w:instrText xml:space="preserve"> HYPERLINK "http://www.pub.xbedu.net/html/article6240370.html"</w:instrText>
      </w:r>
      <w:r>
        <w:rPr>
          <w:rFonts w:hint="eastAsia" w:ascii="微软雅黑" w:hAnsi="微软雅黑" w:eastAsia="微软雅黑" w:cs="微软雅黑"/>
          <w:color w:val="000000"/>
          <w:spacing w:val="-12"/>
        </w:rPr>
        <w:fldChar w:fldCharType="separate"/>
      </w:r>
      <w:r>
        <w:rPr>
          <w:rFonts w:hint="eastAsia" w:ascii="微软雅黑" w:hAnsi="微软雅黑" w:eastAsia="微软雅黑" w:cs="微软雅黑"/>
          <w:color w:val="000000"/>
          <w:spacing w:val="-12"/>
        </w:rPr>
        <w:t>网址：http://www.xbjyfw.cn/html/article6790024.html</w: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505450" cy="5798185"/>
            <wp:effectExtent l="0" t="0" r="0" b="12065"/>
            <wp:docPr id="1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57981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40E39F0">
      <w:pPr>
        <w:keepNext w:val="0"/>
        <w:keepLines w:val="0"/>
        <w:widowControl/>
        <w:suppressLineNumbers w:val="0"/>
        <w:spacing w:before="0" w:beforeAutospacing="0" w:after="0" w:afterAutospacing="0" w:line="435" w:lineRule="atLeast"/>
        <w:ind w:left="0" w:right="0"/>
        <w:jc w:val="left"/>
        <w:rPr>
          <w:rFonts w:hint="eastAsia" w:ascii="宋体" w:hAnsi="宋体" w:eastAsia="宋体" w:cs="宋体"/>
          <w:sz w:val="21"/>
          <w:szCs w:val="21"/>
        </w:rPr>
      </w:pPr>
    </w:p>
    <w:p w14:paraId="4D592E3E">
      <w:pPr>
        <w:pStyle w:val="9"/>
        <w:widowControl/>
        <w:spacing w:before="1" w:line="227" w:lineRule="auto"/>
        <w:jc w:val="center"/>
        <w:rPr>
          <w:rFonts w:ascii="黑体" w:hAnsi="黑体" w:eastAsia="黑体"/>
          <w:sz w:val="28"/>
          <w:szCs w:val="28"/>
        </w:rPr>
      </w:pPr>
      <w:r>
        <w:rPr>
          <w:rFonts w:hint="eastAsia" w:ascii="微软雅黑" w:hAnsi="微软雅黑" w:eastAsia="微软雅黑" w:cs="微软雅黑"/>
          <w:color w:val="000000"/>
          <w:spacing w:val="-12"/>
        </w:rPr>
        <w:fldChar w:fldCharType="end"/>
      </w:r>
      <w:r>
        <w:rPr>
          <w:rFonts w:hint="eastAsia" w:ascii="黑体" w:hAnsi="黑体" w:eastAsia="黑体"/>
          <w:sz w:val="28"/>
          <w:szCs w:val="28"/>
        </w:rPr>
        <w:t>新北区</w:t>
      </w:r>
      <w:r>
        <w:rPr>
          <w:rFonts w:hint="eastAsia" w:ascii="黑体" w:hAnsi="黑体" w:eastAsia="黑体"/>
          <w:sz w:val="28"/>
          <w:szCs w:val="28"/>
          <w:lang w:val="en-US" w:eastAsia="zh-CN"/>
        </w:rPr>
        <w:t>林燕群</w:t>
      </w:r>
      <w:r>
        <w:rPr>
          <w:rFonts w:hint="eastAsia" w:ascii="黑体" w:hAnsi="黑体" w:eastAsia="黑体"/>
          <w:sz w:val="28"/>
          <w:szCs w:val="28"/>
        </w:rPr>
        <w:t>“</w:t>
      </w:r>
      <w:r>
        <w:rPr>
          <w:rFonts w:hint="eastAsia" w:ascii="黑体" w:hAnsi="黑体" w:eastAsia="黑体"/>
          <w:sz w:val="28"/>
          <w:szCs w:val="28"/>
          <w:lang w:val="en-US" w:eastAsia="zh-CN"/>
        </w:rPr>
        <w:t>雁行</w:t>
      </w:r>
      <w:r>
        <w:rPr>
          <w:rFonts w:hint="eastAsia" w:ascii="黑体" w:hAnsi="黑体" w:eastAsia="黑体"/>
          <w:sz w:val="28"/>
          <w:szCs w:val="28"/>
        </w:rPr>
        <w:t>”卓越</w:t>
      </w:r>
      <w:r>
        <w:rPr>
          <w:rFonts w:ascii="黑体" w:hAnsi="黑体" w:eastAsia="黑体"/>
          <w:sz w:val="28"/>
          <w:szCs w:val="28"/>
        </w:rPr>
        <w:t>班主任</w:t>
      </w:r>
      <w:r>
        <w:rPr>
          <w:rFonts w:hint="eastAsia" w:ascii="黑体" w:hAnsi="黑体" w:eastAsia="黑体"/>
          <w:sz w:val="28"/>
          <w:szCs w:val="28"/>
        </w:rPr>
        <w:t>成长营活动方案（</w:t>
      </w:r>
      <w:r>
        <w:rPr>
          <w:rFonts w:hint="eastAsia" w:ascii="黑体" w:hAnsi="黑体" w:eastAsia="黑体"/>
          <w:sz w:val="28"/>
          <w:szCs w:val="28"/>
          <w:lang w:val="en-US" w:eastAsia="zh-CN"/>
        </w:rPr>
        <w:t>十九</w:t>
      </w:r>
      <w:r>
        <w:rPr>
          <w:rFonts w:hint="eastAsia" w:ascii="黑体" w:hAnsi="黑体" w:eastAsia="黑体"/>
          <w:sz w:val="28"/>
          <w:szCs w:val="28"/>
        </w:rPr>
        <w:t>）</w:t>
      </w:r>
    </w:p>
    <w:p w14:paraId="2B6F6B54">
      <w:pPr>
        <w:pStyle w:val="9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80" w:lineRule="exact"/>
        <w:ind w:right="0" w:rightChars="0" w:firstLine="602" w:firstLineChars="200"/>
        <w:textAlignment w:val="auto"/>
        <w:rPr>
          <w:rFonts w:hint="eastAsia" w:ascii="仿宋" w:hAnsi="仿宋" w:eastAsia="仿宋" w:cs="仿宋"/>
          <w:b w:val="0"/>
          <w:bCs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/>
          <w:sz w:val="30"/>
          <w:szCs w:val="30"/>
          <w:lang w:eastAsia="zh-CN"/>
        </w:rPr>
        <w:t>一、</w:t>
      </w:r>
      <w:r>
        <w:rPr>
          <w:rFonts w:hint="eastAsia" w:ascii="仿宋" w:hAnsi="仿宋" w:eastAsia="仿宋" w:cs="仿宋"/>
          <w:b/>
          <w:sz w:val="30"/>
          <w:szCs w:val="30"/>
        </w:rPr>
        <w:t>活动主题：</w:t>
      </w:r>
      <w:r>
        <w:rPr>
          <w:rFonts w:hint="eastAsia" w:ascii="仿宋" w:hAnsi="仿宋" w:eastAsia="仿宋" w:cs="仿宋"/>
          <w:b/>
          <w:sz w:val="30"/>
          <w:szCs w:val="30"/>
          <w:lang w:val="en-US" w:eastAsia="zh-CN"/>
        </w:rPr>
        <w:t>生</w:t>
      </w:r>
      <w:r>
        <w:rPr>
          <w:rFonts w:hint="eastAsia" w:ascii="仿宋" w:hAnsi="仿宋" w:eastAsia="仿宋" w:cs="仿宋"/>
          <w:b/>
          <w:sz w:val="30"/>
          <w:szCs w:val="30"/>
          <w:lang w:eastAsia="zh-CN"/>
        </w:rPr>
        <w:t>·</w:t>
      </w:r>
      <w:r>
        <w:rPr>
          <w:rFonts w:hint="eastAsia" w:ascii="仿宋" w:hAnsi="仿宋" w:eastAsia="仿宋" w:cs="仿宋"/>
          <w:b/>
          <w:sz w:val="30"/>
          <w:szCs w:val="30"/>
          <w:lang w:val="en-US" w:eastAsia="zh-CN"/>
        </w:rPr>
        <w:t>长</w:t>
      </w:r>
      <w:r>
        <w:rPr>
          <w:rFonts w:hint="eastAsia" w:ascii="仿宋" w:hAnsi="仿宋" w:eastAsia="仿宋" w:cs="仿宋"/>
          <w:b/>
          <w:sz w:val="30"/>
          <w:szCs w:val="30"/>
          <w:lang w:eastAsia="zh-CN"/>
        </w:rPr>
        <w:t>：融通</w:t>
      </w:r>
      <w:r>
        <w:rPr>
          <w:rFonts w:hint="eastAsia" w:ascii="仿宋" w:hAnsi="仿宋" w:eastAsia="仿宋" w:cs="仿宋"/>
          <w:b/>
          <w:sz w:val="30"/>
          <w:szCs w:val="30"/>
          <w:lang w:val="en-US" w:eastAsia="zh-CN"/>
        </w:rPr>
        <w:t>教育</w:t>
      </w:r>
      <w:r>
        <w:rPr>
          <w:rFonts w:hint="eastAsia" w:ascii="仿宋" w:hAnsi="仿宋" w:eastAsia="仿宋" w:cs="仿宋"/>
          <w:b/>
          <w:sz w:val="30"/>
          <w:szCs w:val="30"/>
          <w:lang w:eastAsia="zh-CN"/>
        </w:rPr>
        <w:t>新生态构建</w:t>
      </w:r>
    </w:p>
    <w:p w14:paraId="04677CD1">
      <w:pPr>
        <w:pStyle w:val="9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80" w:lineRule="exact"/>
        <w:ind w:right="0" w:rightChars="0" w:firstLine="602" w:firstLineChars="200"/>
        <w:textAlignment w:val="auto"/>
        <w:rPr>
          <w:rFonts w:hint="default" w:ascii="仿宋" w:hAnsi="仿宋" w:eastAsia="仿宋" w:cs="仿宋"/>
          <w:b w:val="0"/>
          <w:bCs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/>
          <w:sz w:val="30"/>
          <w:szCs w:val="30"/>
          <w:lang w:eastAsia="zh-CN"/>
        </w:rPr>
        <w:t>二、</w:t>
      </w:r>
      <w:r>
        <w:rPr>
          <w:rFonts w:hint="eastAsia" w:ascii="仿宋" w:hAnsi="仿宋" w:eastAsia="仿宋" w:cs="仿宋"/>
          <w:b/>
          <w:sz w:val="30"/>
          <w:szCs w:val="30"/>
        </w:rPr>
        <w:t>活动时间：</w:t>
      </w:r>
      <w:r>
        <w:rPr>
          <w:rFonts w:hint="eastAsia" w:ascii="仿宋" w:hAnsi="仿宋" w:eastAsia="仿宋" w:cs="仿宋"/>
          <w:b w:val="0"/>
          <w:bCs/>
          <w:sz w:val="30"/>
          <w:szCs w:val="30"/>
          <w:lang w:val="en-US" w:eastAsia="zh-CN"/>
        </w:rPr>
        <w:t>2025年6月18日（星期三）13:00—16:00</w:t>
      </w:r>
    </w:p>
    <w:p w14:paraId="2E8E2430">
      <w:pPr>
        <w:pStyle w:val="9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80" w:lineRule="exact"/>
        <w:ind w:firstLine="602" w:firstLineChars="200"/>
        <w:textAlignment w:val="auto"/>
        <w:rPr>
          <w:rFonts w:hint="default" w:ascii="仿宋" w:hAnsi="仿宋" w:eastAsia="仿宋" w:cs="仿宋"/>
          <w:b w:val="0"/>
          <w:bCs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/>
          <w:sz w:val="30"/>
          <w:szCs w:val="30"/>
          <w:lang w:eastAsia="zh-CN"/>
        </w:rPr>
        <w:t>三</w:t>
      </w:r>
      <w:r>
        <w:rPr>
          <w:rFonts w:hint="eastAsia" w:ascii="仿宋" w:hAnsi="仿宋" w:eastAsia="仿宋" w:cs="仿宋"/>
          <w:b/>
          <w:sz w:val="30"/>
          <w:szCs w:val="30"/>
        </w:rPr>
        <w:t>、</w:t>
      </w:r>
      <w:r>
        <w:rPr>
          <w:rFonts w:hint="eastAsia" w:ascii="仿宋" w:hAnsi="仿宋" w:eastAsia="仿宋" w:cs="仿宋"/>
          <w:b/>
          <w:sz w:val="30"/>
          <w:szCs w:val="30"/>
          <w:lang w:val="en-US" w:eastAsia="zh-CN"/>
        </w:rPr>
        <w:t>承办学校：</w:t>
      </w:r>
      <w:r>
        <w:rPr>
          <w:rFonts w:hint="eastAsia" w:ascii="仿宋" w:hAnsi="仿宋" w:eastAsia="仿宋" w:cs="仿宋"/>
          <w:b w:val="0"/>
          <w:bCs/>
          <w:sz w:val="30"/>
          <w:szCs w:val="30"/>
          <w:lang w:eastAsia="zh-CN"/>
        </w:rPr>
        <w:t>新北区</w:t>
      </w:r>
      <w:r>
        <w:rPr>
          <w:rFonts w:hint="eastAsia" w:ascii="仿宋" w:hAnsi="仿宋" w:eastAsia="仿宋" w:cs="仿宋"/>
          <w:b w:val="0"/>
          <w:bCs/>
          <w:sz w:val="30"/>
          <w:szCs w:val="30"/>
          <w:lang w:val="en-US" w:eastAsia="zh-CN"/>
        </w:rPr>
        <w:t>三井小学</w:t>
      </w:r>
    </w:p>
    <w:p w14:paraId="4094214E">
      <w:pPr>
        <w:pStyle w:val="9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80" w:lineRule="exact"/>
        <w:ind w:firstLine="602" w:firstLineChars="200"/>
        <w:textAlignment w:val="auto"/>
        <w:rPr>
          <w:rFonts w:hint="eastAsia" w:ascii="仿宋" w:hAnsi="仿宋" w:eastAsia="仿宋" w:cs="仿宋"/>
          <w:b w:val="0"/>
          <w:bCs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/>
          <w:sz w:val="30"/>
          <w:szCs w:val="30"/>
          <w:lang w:val="en-US" w:eastAsia="zh-CN"/>
        </w:rPr>
        <w:t>四、</w:t>
      </w:r>
      <w:r>
        <w:rPr>
          <w:rFonts w:hint="eastAsia" w:ascii="仿宋" w:hAnsi="仿宋" w:eastAsia="仿宋" w:cs="仿宋"/>
          <w:b/>
          <w:sz w:val="30"/>
          <w:szCs w:val="30"/>
        </w:rPr>
        <w:t>活动地点：</w:t>
      </w:r>
      <w:r>
        <w:rPr>
          <w:rFonts w:hint="eastAsia" w:ascii="仿宋" w:hAnsi="仿宋" w:eastAsia="仿宋" w:cs="仿宋"/>
          <w:b w:val="0"/>
          <w:bCs/>
          <w:sz w:val="30"/>
          <w:szCs w:val="30"/>
          <w:lang w:eastAsia="zh-CN"/>
        </w:rPr>
        <w:t>新北区</w:t>
      </w:r>
      <w:r>
        <w:rPr>
          <w:rFonts w:hint="eastAsia" w:ascii="仿宋" w:hAnsi="仿宋" w:eastAsia="仿宋" w:cs="仿宋"/>
          <w:b w:val="0"/>
          <w:bCs/>
          <w:sz w:val="30"/>
          <w:szCs w:val="30"/>
          <w:lang w:val="en-US" w:eastAsia="zh-CN"/>
        </w:rPr>
        <w:t xml:space="preserve">三井小学 </w:t>
      </w:r>
    </w:p>
    <w:p w14:paraId="34181766">
      <w:pPr>
        <w:pStyle w:val="9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80" w:lineRule="exact"/>
        <w:ind w:firstLine="602" w:firstLineChars="200"/>
        <w:textAlignment w:val="auto"/>
        <w:rPr>
          <w:rFonts w:hint="default" w:ascii="仿宋" w:hAnsi="仿宋" w:eastAsia="仿宋" w:cs="仿宋"/>
          <w:b w:val="0"/>
          <w:bCs w:val="0"/>
          <w:color w:val="000000"/>
          <w:sz w:val="30"/>
          <w:szCs w:val="30"/>
          <w:highlight w:val="none"/>
          <w:lang w:val="en-US" w:eastAsia="zh-CN"/>
        </w:rPr>
      </w:pPr>
      <w:r>
        <w:rPr>
          <w:rFonts w:hint="eastAsia" w:ascii="仿宋" w:hAnsi="仿宋" w:eastAsia="仿宋" w:cs="仿宋"/>
          <w:b/>
          <w:sz w:val="30"/>
          <w:szCs w:val="30"/>
          <w:lang w:val="en-US" w:eastAsia="zh-CN"/>
        </w:rPr>
        <w:t>五</w:t>
      </w:r>
      <w:r>
        <w:rPr>
          <w:rFonts w:hint="eastAsia" w:ascii="仿宋" w:hAnsi="仿宋" w:eastAsia="仿宋" w:cs="仿宋"/>
          <w:b/>
          <w:sz w:val="30"/>
          <w:szCs w:val="30"/>
        </w:rPr>
        <w:t>、参加人员：</w:t>
      </w:r>
      <w:r>
        <w:rPr>
          <w:rFonts w:hint="eastAsia" w:ascii="仿宋" w:hAnsi="仿宋" w:eastAsia="仿宋" w:cs="仿宋"/>
          <w:b w:val="0"/>
          <w:bCs w:val="0"/>
          <w:color w:val="000000"/>
          <w:sz w:val="30"/>
          <w:szCs w:val="30"/>
          <w:highlight w:val="none"/>
          <w:lang w:val="en-US" w:eastAsia="zh-CN"/>
        </w:rPr>
        <w:t>新北区林燕群卓越班主任成长营全体成员</w:t>
      </w:r>
    </w:p>
    <w:p w14:paraId="1EC48CB6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80" w:lineRule="exact"/>
        <w:ind w:firstLine="602" w:firstLineChars="200"/>
        <w:textAlignment w:val="auto"/>
        <w:rPr>
          <w:rFonts w:hint="eastAsia" w:ascii="仿宋" w:hAnsi="仿宋" w:eastAsia="仿宋" w:cs="仿宋"/>
          <w:b/>
          <w:bCs/>
          <w:sz w:val="30"/>
          <w:szCs w:val="30"/>
        </w:rPr>
      </w:pPr>
      <w:r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  <w:t>六</w:t>
      </w:r>
      <w:r>
        <w:rPr>
          <w:rFonts w:hint="eastAsia" w:ascii="仿宋" w:hAnsi="仿宋" w:eastAsia="仿宋" w:cs="仿宋"/>
          <w:b/>
          <w:bCs/>
          <w:sz w:val="30"/>
          <w:szCs w:val="30"/>
        </w:rPr>
        <w:t>、活动流程</w:t>
      </w:r>
    </w:p>
    <w:tbl>
      <w:tblPr>
        <w:tblStyle w:val="10"/>
        <w:tblpPr w:leftFromText="180" w:rightFromText="180" w:vertAnchor="text" w:horzAnchor="page" w:tblpX="1136" w:tblpY="121"/>
        <w:tblOverlap w:val="never"/>
        <w:tblW w:w="9855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83"/>
        <w:gridCol w:w="2000"/>
        <w:gridCol w:w="4456"/>
        <w:gridCol w:w="1816"/>
      </w:tblGrid>
      <w:tr w14:paraId="0C31ABA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</w:trPr>
        <w:tc>
          <w:tcPr>
            <w:tcW w:w="1583" w:type="dxa"/>
            <w:vAlign w:val="center"/>
          </w:tcPr>
          <w:p w14:paraId="29B0010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b/>
                <w:bCs/>
                <w:sz w:val="30"/>
                <w:szCs w:val="30"/>
              </w:rPr>
              <w:t>环节</w:t>
            </w:r>
          </w:p>
        </w:tc>
        <w:tc>
          <w:tcPr>
            <w:tcW w:w="2000" w:type="dxa"/>
            <w:vAlign w:val="center"/>
          </w:tcPr>
          <w:p w14:paraId="2DCD0F5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b/>
                <w:bCs/>
                <w:sz w:val="30"/>
                <w:szCs w:val="30"/>
              </w:rPr>
              <w:t>时间</w:t>
            </w:r>
          </w:p>
        </w:tc>
        <w:tc>
          <w:tcPr>
            <w:tcW w:w="4456" w:type="dxa"/>
            <w:vAlign w:val="center"/>
          </w:tcPr>
          <w:p w14:paraId="50B1369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b/>
                <w:bCs/>
                <w:sz w:val="30"/>
                <w:szCs w:val="30"/>
              </w:rPr>
              <w:t>内容</w:t>
            </w:r>
          </w:p>
        </w:tc>
        <w:tc>
          <w:tcPr>
            <w:tcW w:w="1816" w:type="dxa"/>
            <w:vAlign w:val="center"/>
          </w:tcPr>
          <w:p w14:paraId="67E9AEB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b/>
                <w:bCs/>
                <w:sz w:val="30"/>
                <w:szCs w:val="30"/>
              </w:rPr>
              <w:t>负责人</w:t>
            </w:r>
          </w:p>
        </w:tc>
      </w:tr>
      <w:tr w14:paraId="7154DE5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</w:trPr>
        <w:tc>
          <w:tcPr>
            <w:tcW w:w="1583" w:type="dxa"/>
            <w:vMerge w:val="restart"/>
            <w:vAlign w:val="center"/>
          </w:tcPr>
          <w:p w14:paraId="0AD8875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jc w:val="center"/>
              <w:textAlignment w:val="auto"/>
              <w:rPr>
                <w:rFonts w:hint="eastAsia" w:ascii="仿宋" w:hAnsi="仿宋" w:eastAsia="仿宋" w:cs="仿宋"/>
                <w:sz w:val="30"/>
                <w:szCs w:val="30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  <w:lang w:val="en-US" w:eastAsia="zh-CN"/>
              </w:rPr>
              <w:t>课堂观摩</w:t>
            </w:r>
          </w:p>
        </w:tc>
        <w:tc>
          <w:tcPr>
            <w:tcW w:w="2000" w:type="dxa"/>
            <w:vAlign w:val="center"/>
          </w:tcPr>
          <w:p w14:paraId="0118320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jc w:val="center"/>
              <w:textAlignment w:val="auto"/>
              <w:rPr>
                <w:rFonts w:hint="eastAsia" w:ascii="仿宋" w:hAnsi="仿宋" w:eastAsia="仿宋" w:cs="仿宋"/>
                <w:sz w:val="30"/>
                <w:szCs w:val="30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  <w:lang w:val="en-US" w:eastAsia="zh-CN"/>
              </w:rPr>
              <w:t>13:00-13:40</w:t>
            </w:r>
          </w:p>
          <w:p w14:paraId="3C624DA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jc w:val="center"/>
              <w:textAlignment w:val="auto"/>
              <w:rPr>
                <w:rFonts w:hint="eastAsia" w:ascii="仿宋" w:hAnsi="仿宋" w:eastAsia="仿宋" w:cs="仿宋"/>
                <w:sz w:val="30"/>
                <w:szCs w:val="30"/>
                <w:lang w:val="en-US" w:eastAsia="zh-CN"/>
              </w:rPr>
            </w:pPr>
          </w:p>
        </w:tc>
        <w:tc>
          <w:tcPr>
            <w:tcW w:w="4456" w:type="dxa"/>
            <w:shd w:val="clear" w:color="auto" w:fill="auto"/>
            <w:vAlign w:val="center"/>
          </w:tcPr>
          <w:p w14:paraId="542792B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jc w:val="left"/>
              <w:textAlignment w:val="auto"/>
              <w:rPr>
                <w:rFonts w:hint="eastAsia" w:ascii="仿宋" w:hAnsi="仿宋" w:eastAsia="仿宋" w:cs="仿宋"/>
                <w:sz w:val="30"/>
                <w:szCs w:val="30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  <w:lang w:val="en-US" w:eastAsia="zh-CN"/>
              </w:rPr>
              <w:t>主题班会：</w:t>
            </w:r>
          </w:p>
          <w:p w14:paraId="4BE07F0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jc w:val="left"/>
              <w:textAlignment w:val="auto"/>
              <w:rPr>
                <w:rFonts w:hint="eastAsia" w:ascii="仿宋" w:hAnsi="仿宋" w:eastAsia="仿宋" w:cs="仿宋"/>
                <w:kern w:val="2"/>
                <w:sz w:val="30"/>
                <w:szCs w:val="30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  <w:lang w:val="en-US" w:eastAsia="zh-CN"/>
              </w:rPr>
              <w:t xml:space="preserve">   《该说“不”时就说“不”》</w:t>
            </w:r>
          </w:p>
        </w:tc>
        <w:tc>
          <w:tcPr>
            <w:tcW w:w="1816" w:type="dxa"/>
            <w:shd w:val="clear" w:color="auto" w:fill="auto"/>
            <w:vAlign w:val="center"/>
          </w:tcPr>
          <w:p w14:paraId="5073DE0B">
            <w:pPr>
              <w:keepNext w:val="0"/>
              <w:keepLines w:val="0"/>
              <w:pageBreakBefore w:val="0"/>
              <w:widowControl w:val="0"/>
              <w:pBdr>
                <w:bottom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jc w:val="left"/>
              <w:textAlignment w:val="auto"/>
              <w:rPr>
                <w:rFonts w:hint="eastAsia" w:ascii="仿宋" w:hAnsi="仿宋" w:eastAsia="仿宋" w:cs="仿宋"/>
                <w:kern w:val="2"/>
                <w:sz w:val="30"/>
                <w:szCs w:val="30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  <w:lang w:val="en-US" w:eastAsia="zh-CN"/>
              </w:rPr>
              <w:t>刘诗思</w:t>
            </w:r>
          </w:p>
        </w:tc>
      </w:tr>
      <w:tr w14:paraId="6140EAD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</w:trPr>
        <w:tc>
          <w:tcPr>
            <w:tcW w:w="1583" w:type="dxa"/>
            <w:vMerge w:val="continue"/>
            <w:vAlign w:val="center"/>
          </w:tcPr>
          <w:p w14:paraId="10CC6FC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jc w:val="center"/>
              <w:textAlignment w:val="auto"/>
              <w:rPr>
                <w:rFonts w:hint="eastAsia" w:ascii="仿宋" w:hAnsi="仿宋" w:eastAsia="仿宋" w:cs="仿宋"/>
                <w:sz w:val="30"/>
                <w:szCs w:val="30"/>
                <w:lang w:val="en-US" w:eastAsia="zh-CN"/>
              </w:rPr>
            </w:pPr>
          </w:p>
        </w:tc>
        <w:tc>
          <w:tcPr>
            <w:tcW w:w="2000" w:type="dxa"/>
            <w:vAlign w:val="center"/>
          </w:tcPr>
          <w:p w14:paraId="46C9B1D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jc w:val="center"/>
              <w:textAlignment w:val="auto"/>
              <w:rPr>
                <w:rFonts w:hint="eastAsia" w:ascii="仿宋" w:hAnsi="仿宋" w:eastAsia="仿宋" w:cs="仿宋"/>
                <w:sz w:val="30"/>
                <w:szCs w:val="30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  <w:lang w:val="en-US" w:eastAsia="zh-CN"/>
              </w:rPr>
              <w:t>13:50-14:30</w:t>
            </w:r>
          </w:p>
        </w:tc>
        <w:tc>
          <w:tcPr>
            <w:tcW w:w="4456" w:type="dxa"/>
            <w:shd w:val="clear" w:color="auto" w:fill="auto"/>
            <w:vAlign w:val="center"/>
          </w:tcPr>
          <w:p w14:paraId="2C01115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jc w:val="left"/>
              <w:textAlignment w:val="auto"/>
              <w:rPr>
                <w:rFonts w:hint="eastAsia" w:ascii="仿宋" w:hAnsi="仿宋" w:eastAsia="仿宋" w:cs="仿宋"/>
                <w:sz w:val="30"/>
                <w:szCs w:val="30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  <w:lang w:val="en-US" w:eastAsia="zh-CN"/>
              </w:rPr>
              <w:t>主题班会：</w:t>
            </w:r>
          </w:p>
          <w:p w14:paraId="6ED1BDB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jc w:val="left"/>
              <w:textAlignment w:val="auto"/>
              <w:rPr>
                <w:rFonts w:hint="eastAsia" w:ascii="仿宋" w:hAnsi="仿宋" w:eastAsia="仿宋" w:cs="仿宋"/>
                <w:kern w:val="2"/>
                <w:sz w:val="30"/>
                <w:szCs w:val="30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  <w:lang w:val="en-US" w:eastAsia="zh-CN"/>
              </w:rPr>
              <w:t>《“纽”转乾坤，“扣”响爱国强音》</w:t>
            </w:r>
          </w:p>
        </w:tc>
        <w:tc>
          <w:tcPr>
            <w:tcW w:w="1816" w:type="dxa"/>
            <w:shd w:val="clear" w:color="auto" w:fill="auto"/>
            <w:vAlign w:val="center"/>
          </w:tcPr>
          <w:p w14:paraId="374D83FD">
            <w:pPr>
              <w:keepNext w:val="0"/>
              <w:keepLines w:val="0"/>
              <w:pageBreakBefore w:val="0"/>
              <w:widowControl w:val="0"/>
              <w:pBdr>
                <w:bottom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jc w:val="left"/>
              <w:textAlignment w:val="auto"/>
              <w:rPr>
                <w:rFonts w:hint="eastAsia" w:ascii="仿宋" w:hAnsi="仿宋" w:eastAsia="仿宋" w:cs="仿宋"/>
                <w:kern w:val="2"/>
                <w:sz w:val="30"/>
                <w:szCs w:val="30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  <w:lang w:val="en-US" w:eastAsia="zh-CN"/>
              </w:rPr>
              <w:t>李荧娇</w:t>
            </w:r>
          </w:p>
        </w:tc>
      </w:tr>
      <w:tr w14:paraId="2920448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</w:trPr>
        <w:tc>
          <w:tcPr>
            <w:tcW w:w="1583" w:type="dxa"/>
            <w:vAlign w:val="center"/>
          </w:tcPr>
          <w:p w14:paraId="353A83F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jc w:val="center"/>
              <w:textAlignment w:val="auto"/>
              <w:rPr>
                <w:rFonts w:hint="eastAsia" w:ascii="仿宋" w:hAnsi="仿宋" w:eastAsia="仿宋" w:cs="仿宋"/>
                <w:sz w:val="30"/>
                <w:szCs w:val="30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  <w:lang w:val="en-US" w:eastAsia="zh-CN"/>
              </w:rPr>
              <w:t>反思评课</w:t>
            </w:r>
          </w:p>
        </w:tc>
        <w:tc>
          <w:tcPr>
            <w:tcW w:w="2000" w:type="dxa"/>
            <w:vAlign w:val="center"/>
          </w:tcPr>
          <w:p w14:paraId="4620C95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jc w:val="center"/>
              <w:textAlignment w:val="auto"/>
              <w:rPr>
                <w:rFonts w:hint="eastAsia" w:ascii="仿宋" w:hAnsi="仿宋" w:eastAsia="仿宋" w:cs="仿宋"/>
                <w:sz w:val="30"/>
                <w:szCs w:val="30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  <w:lang w:val="en-US" w:eastAsia="zh-CN"/>
              </w:rPr>
              <w:t>14:40-15:00</w:t>
            </w:r>
          </w:p>
        </w:tc>
        <w:tc>
          <w:tcPr>
            <w:tcW w:w="4456" w:type="dxa"/>
            <w:vAlign w:val="center"/>
          </w:tcPr>
          <w:p w14:paraId="438C4FE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jc w:val="left"/>
              <w:textAlignment w:val="auto"/>
              <w:rPr>
                <w:rFonts w:hint="default" w:ascii="仿宋" w:hAnsi="仿宋" w:eastAsia="仿宋" w:cs="仿宋"/>
                <w:color w:val="000000"/>
                <w:sz w:val="30"/>
                <w:szCs w:val="30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30"/>
                <w:szCs w:val="30"/>
                <w:lang w:val="en-US" w:eastAsia="zh-CN"/>
              </w:rPr>
              <w:t>说课评课</w:t>
            </w:r>
          </w:p>
        </w:tc>
        <w:tc>
          <w:tcPr>
            <w:tcW w:w="1816" w:type="dxa"/>
            <w:vAlign w:val="center"/>
          </w:tcPr>
          <w:p w14:paraId="61DB03C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jc w:val="left"/>
              <w:textAlignment w:val="auto"/>
              <w:rPr>
                <w:rFonts w:hint="default" w:ascii="仿宋" w:hAnsi="仿宋" w:eastAsia="仿宋" w:cs="仿宋"/>
                <w:color w:val="000000"/>
                <w:sz w:val="30"/>
                <w:szCs w:val="30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30"/>
                <w:szCs w:val="30"/>
                <w:lang w:val="en-US" w:eastAsia="zh-CN"/>
              </w:rPr>
              <w:t>全体营员</w:t>
            </w:r>
          </w:p>
        </w:tc>
      </w:tr>
      <w:tr w14:paraId="33F03D8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</w:trPr>
        <w:tc>
          <w:tcPr>
            <w:tcW w:w="1583" w:type="dxa"/>
            <w:vAlign w:val="center"/>
          </w:tcPr>
          <w:p w14:paraId="291F088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jc w:val="center"/>
              <w:textAlignment w:val="auto"/>
              <w:rPr>
                <w:rFonts w:hint="default" w:ascii="仿宋" w:hAnsi="仿宋" w:eastAsia="仿宋" w:cs="仿宋"/>
                <w:sz w:val="30"/>
                <w:szCs w:val="30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  <w:lang w:val="en-US" w:eastAsia="zh-CN"/>
              </w:rPr>
              <w:t>主题讲座</w:t>
            </w:r>
          </w:p>
        </w:tc>
        <w:tc>
          <w:tcPr>
            <w:tcW w:w="2000" w:type="dxa"/>
            <w:vAlign w:val="center"/>
          </w:tcPr>
          <w:p w14:paraId="3DDAF25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jc w:val="center"/>
              <w:textAlignment w:val="auto"/>
              <w:rPr>
                <w:rFonts w:hint="default" w:ascii="仿宋" w:hAnsi="仿宋" w:eastAsia="仿宋" w:cs="仿宋"/>
                <w:sz w:val="30"/>
                <w:szCs w:val="30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  <w:lang w:val="en-US" w:eastAsia="zh-CN"/>
              </w:rPr>
              <w:t>15:00-15:15</w:t>
            </w:r>
          </w:p>
        </w:tc>
        <w:tc>
          <w:tcPr>
            <w:tcW w:w="4456" w:type="dxa"/>
            <w:vAlign w:val="center"/>
          </w:tcPr>
          <w:p w14:paraId="5A46DDA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jc w:val="left"/>
              <w:textAlignment w:val="auto"/>
              <w:rPr>
                <w:rFonts w:hint="eastAsia" w:ascii="仿宋" w:hAnsi="仿宋" w:eastAsia="仿宋" w:cs="仿宋"/>
                <w:color w:val="000000"/>
                <w:sz w:val="30"/>
                <w:szCs w:val="30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30"/>
                <w:szCs w:val="30"/>
                <w:lang w:eastAsia="zh-CN"/>
              </w:rPr>
              <w:t>主题讲座：</w:t>
            </w:r>
          </w:p>
          <w:p w14:paraId="2112F98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jc w:val="left"/>
              <w:textAlignment w:val="auto"/>
              <w:rPr>
                <w:rFonts w:hint="default" w:ascii="仿宋" w:hAnsi="仿宋" w:eastAsia="仿宋" w:cs="仿宋"/>
                <w:color w:val="000000"/>
                <w:sz w:val="30"/>
                <w:szCs w:val="30"/>
                <w:lang w:val="en-US" w:eastAsia="zh-CN"/>
              </w:rPr>
            </w:pPr>
            <w:r>
              <w:rPr>
                <w:rFonts w:hint="default" w:ascii="仿宋" w:hAnsi="仿宋" w:eastAsia="仿宋" w:cs="仿宋"/>
                <w:color w:val="000000"/>
                <w:sz w:val="30"/>
                <w:szCs w:val="30"/>
                <w:lang w:val="en-US" w:eastAsia="zh-CN"/>
              </w:rPr>
              <w:t>《知行合一·三阶赋能：基于语文教学与班级建设的综合融通新生态构建》</w:t>
            </w:r>
          </w:p>
        </w:tc>
        <w:tc>
          <w:tcPr>
            <w:tcW w:w="1816" w:type="dxa"/>
            <w:vAlign w:val="center"/>
          </w:tcPr>
          <w:p w14:paraId="1D56D21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jc w:val="left"/>
              <w:textAlignment w:val="auto"/>
              <w:rPr>
                <w:rFonts w:hint="default" w:ascii="仿宋" w:hAnsi="仿宋" w:eastAsia="仿宋" w:cs="仿宋"/>
                <w:color w:val="000000"/>
                <w:sz w:val="30"/>
                <w:szCs w:val="30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30"/>
                <w:szCs w:val="30"/>
                <w:lang w:val="en-US" w:eastAsia="zh-CN"/>
              </w:rPr>
              <w:t>柳溪</w:t>
            </w:r>
          </w:p>
        </w:tc>
      </w:tr>
      <w:tr w14:paraId="3A4A6E9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</w:trPr>
        <w:tc>
          <w:tcPr>
            <w:tcW w:w="1583" w:type="dxa"/>
            <w:vAlign w:val="center"/>
          </w:tcPr>
          <w:p w14:paraId="66F6F7D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jc w:val="center"/>
              <w:textAlignment w:val="auto"/>
              <w:rPr>
                <w:rFonts w:hint="default" w:ascii="仿宋" w:hAnsi="仿宋" w:eastAsia="仿宋" w:cs="仿宋"/>
                <w:sz w:val="30"/>
                <w:szCs w:val="30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  <w:lang w:val="en-US" w:eastAsia="zh-CN"/>
              </w:rPr>
              <w:t>课题论证</w:t>
            </w:r>
          </w:p>
        </w:tc>
        <w:tc>
          <w:tcPr>
            <w:tcW w:w="2000" w:type="dxa"/>
            <w:vAlign w:val="center"/>
          </w:tcPr>
          <w:p w14:paraId="3037DB7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jc w:val="center"/>
              <w:textAlignment w:val="auto"/>
              <w:rPr>
                <w:rFonts w:hint="default" w:ascii="仿宋" w:hAnsi="仿宋" w:eastAsia="仿宋" w:cs="仿宋"/>
                <w:sz w:val="30"/>
                <w:szCs w:val="30"/>
                <w:highlight w:val="yellow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  <w:lang w:val="en-US" w:eastAsia="zh-CN"/>
              </w:rPr>
              <w:t>15:20-16:00</w:t>
            </w:r>
          </w:p>
        </w:tc>
        <w:tc>
          <w:tcPr>
            <w:tcW w:w="4456" w:type="dxa"/>
            <w:vAlign w:val="center"/>
          </w:tcPr>
          <w:p w14:paraId="597E907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jc w:val="left"/>
              <w:textAlignment w:val="auto"/>
              <w:rPr>
                <w:rFonts w:hint="default" w:ascii="仿宋" w:hAnsi="仿宋" w:eastAsia="仿宋" w:cs="仿宋"/>
                <w:color w:val="000000"/>
                <w:sz w:val="30"/>
                <w:szCs w:val="30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30"/>
                <w:szCs w:val="30"/>
                <w:lang w:val="en-US" w:eastAsia="zh-CN"/>
              </w:rPr>
              <w:t>课题中期评估报告论证</w:t>
            </w:r>
          </w:p>
        </w:tc>
        <w:tc>
          <w:tcPr>
            <w:tcW w:w="1816" w:type="dxa"/>
            <w:vAlign w:val="center"/>
          </w:tcPr>
          <w:p w14:paraId="00D4A89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jc w:val="left"/>
              <w:textAlignment w:val="auto"/>
              <w:rPr>
                <w:rFonts w:hint="default" w:ascii="仿宋" w:hAnsi="仿宋" w:eastAsia="仿宋" w:cs="仿宋"/>
                <w:color w:val="000000"/>
                <w:sz w:val="30"/>
                <w:szCs w:val="30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30"/>
                <w:szCs w:val="30"/>
                <w:lang w:val="en-US" w:eastAsia="zh-CN"/>
              </w:rPr>
              <w:t>课题组成员</w:t>
            </w:r>
          </w:p>
        </w:tc>
      </w:tr>
    </w:tbl>
    <w:p w14:paraId="1D4B88BC"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80" w:lineRule="exact"/>
        <w:ind w:left="451" w:leftChars="0" w:firstLine="0" w:firstLineChars="0"/>
        <w:textAlignment w:val="auto"/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  <w:t>活动分工</w:t>
      </w:r>
    </w:p>
    <w:p w14:paraId="4119107E">
      <w:pPr>
        <w:keepNext w:val="0"/>
        <w:keepLines w:val="0"/>
        <w:pageBreakBefore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80" w:lineRule="exact"/>
        <w:ind w:left="451" w:leftChars="0"/>
        <w:textAlignment w:val="auto"/>
        <w:rPr>
          <w:rFonts w:hint="eastAsia" w:ascii="仿宋" w:hAnsi="仿宋" w:eastAsia="仿宋" w:cs="仿宋"/>
          <w:b w:val="0"/>
          <w:bCs w:val="0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0"/>
          <w:szCs w:val="30"/>
          <w:lang w:val="en-US" w:eastAsia="zh-CN"/>
        </w:rPr>
        <w:t>签到：刘妍</w:t>
      </w:r>
    </w:p>
    <w:p w14:paraId="1512E996">
      <w:pPr>
        <w:keepNext w:val="0"/>
        <w:keepLines w:val="0"/>
        <w:pageBreakBefore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80" w:lineRule="exact"/>
        <w:ind w:left="451" w:leftChars="0"/>
        <w:textAlignment w:val="auto"/>
        <w:rPr>
          <w:rFonts w:hint="default" w:ascii="仿宋" w:hAnsi="仿宋" w:eastAsia="仿宋" w:cs="仿宋"/>
          <w:b w:val="0"/>
          <w:bCs w:val="0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0"/>
          <w:szCs w:val="30"/>
          <w:lang w:val="en-US" w:eastAsia="zh-CN"/>
        </w:rPr>
        <w:t>场地安排：</w:t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刘诗思</w:t>
      </w:r>
    </w:p>
    <w:p w14:paraId="16371D3A">
      <w:pPr>
        <w:keepNext w:val="0"/>
        <w:keepLines w:val="0"/>
        <w:pageBreakBefore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80" w:lineRule="exact"/>
        <w:ind w:left="451" w:leftChars="0"/>
        <w:textAlignment w:val="auto"/>
        <w:rPr>
          <w:rFonts w:hint="default" w:ascii="仿宋" w:hAnsi="仿宋" w:eastAsia="仿宋" w:cs="仿宋"/>
          <w:b w:val="0"/>
          <w:bCs w:val="0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0"/>
          <w:szCs w:val="30"/>
          <w:lang w:val="en-US" w:eastAsia="zh-CN"/>
        </w:rPr>
        <w:t xml:space="preserve">摄影：孙洁 </w:t>
      </w:r>
    </w:p>
    <w:p w14:paraId="304417D4">
      <w:pPr>
        <w:keepNext w:val="0"/>
        <w:keepLines w:val="0"/>
        <w:pageBreakBefore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80" w:lineRule="exact"/>
        <w:ind w:left="451" w:leftChars="0"/>
        <w:textAlignment w:val="auto"/>
        <w:rPr>
          <w:rFonts w:hint="default" w:ascii="仿宋" w:hAnsi="仿宋" w:eastAsia="仿宋" w:cs="仿宋"/>
          <w:b w:val="0"/>
          <w:bCs w:val="0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0"/>
          <w:szCs w:val="30"/>
          <w:lang w:val="en-US" w:eastAsia="zh-CN"/>
        </w:rPr>
        <w:t>报道撰写：杨楹</w:t>
      </w:r>
    </w:p>
    <w:p w14:paraId="2BF7DBF1">
      <w:pPr>
        <w:keepNext w:val="0"/>
        <w:keepLines w:val="0"/>
        <w:pageBreakBefore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80" w:lineRule="exact"/>
        <w:ind w:left="451" w:leftChars="0"/>
        <w:textAlignment w:val="auto"/>
        <w:rPr>
          <w:rFonts w:hint="default" w:ascii="仿宋" w:hAnsi="仿宋" w:eastAsia="仿宋" w:cs="仿宋"/>
          <w:b w:val="0"/>
          <w:bCs w:val="0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0"/>
          <w:szCs w:val="30"/>
          <w:lang w:val="en-US" w:eastAsia="zh-CN"/>
        </w:rPr>
        <w:t>简报整理：马利平</w:t>
      </w:r>
    </w:p>
    <w:p w14:paraId="358BB22D">
      <w:pPr>
        <w:keepNext w:val="0"/>
        <w:keepLines w:val="0"/>
        <w:pageBreakBefore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80" w:lineRule="exact"/>
        <w:ind w:left="451" w:leftChars="0"/>
        <w:textAlignment w:val="auto"/>
        <w:rPr>
          <w:rFonts w:hint="eastAsia" w:ascii="仿宋" w:hAnsi="仿宋" w:eastAsia="仿宋" w:cs="仿宋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0"/>
          <w:szCs w:val="30"/>
          <w:lang w:val="en-US" w:eastAsia="zh-CN"/>
        </w:rPr>
        <w:t>活动主持：孔晶</w:t>
      </w:r>
    </w:p>
    <w:p w14:paraId="650E2EC2">
      <w:pPr>
        <w:pStyle w:val="9"/>
        <w:widowControl/>
        <w:shd w:val="clear" w:color="auto" w:fill="FFFFFF"/>
        <w:spacing w:beforeAutospacing="0" w:afterAutospacing="0" w:line="300" w:lineRule="atLeast"/>
        <w:jc w:val="both"/>
        <w:rPr>
          <w:rFonts w:ascii="微软雅黑" w:hAnsi="微软雅黑" w:eastAsia="微软雅黑" w:cs="微软雅黑"/>
          <w:color w:val="FF0000"/>
          <w:spacing w:val="-12"/>
          <w:sz w:val="28"/>
          <w:szCs w:val="28"/>
        </w:rPr>
      </w:pPr>
    </w:p>
    <w:p w14:paraId="3072DE0C">
      <w:pPr>
        <w:pStyle w:val="9"/>
        <w:widowControl/>
        <w:spacing w:before="1" w:line="227" w:lineRule="auto"/>
        <w:rPr>
          <w:rFonts w:ascii="微软雅黑" w:hAnsi="微软雅黑" w:eastAsia="微软雅黑" w:cs="微软雅黑"/>
          <w:color w:val="FF0000"/>
          <w:spacing w:val="-12"/>
          <w:sz w:val="28"/>
          <w:szCs w:val="28"/>
        </w:rPr>
      </w:pPr>
    </w:p>
    <w:p w14:paraId="23AD6CC1">
      <w:pPr>
        <w:pStyle w:val="9"/>
        <w:widowControl/>
        <w:spacing w:before="1" w:line="227" w:lineRule="auto"/>
        <w:rPr>
          <w:rFonts w:ascii="微软雅黑" w:hAnsi="微软雅黑" w:eastAsia="微软雅黑" w:cs="微软雅黑"/>
          <w:color w:val="FF0000"/>
          <w:spacing w:val="-12"/>
          <w:sz w:val="28"/>
          <w:szCs w:val="28"/>
        </w:rPr>
      </w:pPr>
    </w:p>
    <w:p w14:paraId="6F6A3B27">
      <w:pPr>
        <w:pStyle w:val="9"/>
        <w:widowControl/>
        <w:spacing w:before="1" w:line="227" w:lineRule="auto"/>
        <w:rPr>
          <w:rFonts w:hint="eastAsia" w:ascii="微软雅黑" w:hAnsi="微软雅黑" w:eastAsia="微软雅黑" w:cs="微软雅黑"/>
          <w:color w:val="000000"/>
          <w:spacing w:val="-12"/>
        </w:rPr>
      </w:pPr>
      <w:r>
        <w:rPr>
          <w:rFonts w:ascii="微软雅黑" w:hAnsi="微软雅黑" w:eastAsia="微软雅黑" w:cs="微软雅黑"/>
          <w:color w:val="FF0000"/>
          <w:spacing w:val="-12"/>
          <w:sz w:val="28"/>
          <w:szCs w:val="28"/>
        </w:rPr>
        <w:t>【</w:t>
      </w:r>
      <w:r>
        <w:rPr>
          <w:rFonts w:hint="eastAsia" w:ascii="微软雅黑" w:hAnsi="微软雅黑" w:eastAsia="微软雅黑" w:cs="微软雅黑"/>
          <w:color w:val="FF0000"/>
          <w:spacing w:val="-12"/>
          <w:sz w:val="28"/>
          <w:szCs w:val="28"/>
        </w:rPr>
        <w:t>二、活动签到】</w:t>
      </w:r>
      <w:r>
        <w:rPr>
          <w:rFonts w:hint="eastAsia" w:ascii="微软雅黑" w:hAnsi="微软雅黑" w:eastAsia="微软雅黑" w:cs="微软雅黑"/>
          <w:color w:val="000000"/>
          <w:spacing w:val="-12"/>
        </w:rPr>
        <w:t>（附：纸质签到表扫描件）</w:t>
      </w:r>
    </w:p>
    <w:p w14:paraId="7BEAB791">
      <w:pPr>
        <w:pStyle w:val="9"/>
        <w:widowControl/>
        <w:spacing w:before="1" w:line="227" w:lineRule="auto"/>
        <w:rPr>
          <w:rFonts w:hint="eastAsia" w:ascii="微软雅黑" w:hAnsi="微软雅黑" w:eastAsia="微软雅黑" w:cs="微软雅黑"/>
          <w:color w:val="000000"/>
          <w:spacing w:val="-12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078730" cy="6771640"/>
            <wp:effectExtent l="0" t="0" r="7620" b="10160"/>
            <wp:docPr id="12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78730" cy="67716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79654F5">
      <w:pPr>
        <w:pStyle w:val="9"/>
        <w:widowControl/>
        <w:spacing w:before="1" w:line="227" w:lineRule="auto"/>
        <w:rPr>
          <w:rFonts w:hint="eastAsia" w:ascii="微软雅黑" w:hAnsi="微软雅黑" w:eastAsia="微软雅黑" w:cs="微软雅黑"/>
          <w:color w:val="000000"/>
          <w:spacing w:val="-12"/>
          <w:lang w:eastAsia="zh-CN"/>
        </w:rPr>
      </w:pPr>
    </w:p>
    <w:p w14:paraId="37901555">
      <w:pPr>
        <w:pStyle w:val="9"/>
        <w:widowControl/>
        <w:spacing w:before="120" w:line="228" w:lineRule="auto"/>
        <w:rPr>
          <w:rFonts w:hint="eastAsia" w:ascii="微软雅黑" w:hAnsi="微软雅黑" w:eastAsia="微软雅黑" w:cs="微软雅黑"/>
          <w:color w:val="FF0000"/>
          <w:spacing w:val="-11"/>
          <w:sz w:val="28"/>
          <w:szCs w:val="28"/>
        </w:rPr>
      </w:pPr>
    </w:p>
    <w:p w14:paraId="23D7D46D">
      <w:pPr>
        <w:pStyle w:val="9"/>
        <w:widowControl/>
        <w:spacing w:before="120" w:line="228" w:lineRule="auto"/>
        <w:rPr>
          <w:rFonts w:hint="eastAsia" w:ascii="微软雅黑" w:hAnsi="微软雅黑" w:eastAsia="微软雅黑" w:cs="微软雅黑"/>
          <w:color w:val="000000"/>
          <w:spacing w:val="-11"/>
        </w:rPr>
      </w:pPr>
      <w:r>
        <w:rPr>
          <w:rFonts w:hint="eastAsia" w:ascii="微软雅黑" w:hAnsi="微软雅黑" w:eastAsia="微软雅黑" w:cs="微软雅黑"/>
          <w:color w:val="FF0000"/>
          <w:spacing w:val="-11"/>
          <w:sz w:val="28"/>
          <w:szCs w:val="28"/>
        </w:rPr>
        <w:t>【三、活动过程材料】</w:t>
      </w:r>
      <w:r>
        <w:rPr>
          <w:rFonts w:hint="eastAsia" w:ascii="微软雅黑" w:hAnsi="微软雅黑" w:eastAsia="微软雅黑" w:cs="微软雅黑"/>
          <w:color w:val="000000"/>
          <w:spacing w:val="-11"/>
        </w:rPr>
        <w:t>（附：详细教案、讲座交流稿大纲要点、研讨实录）</w:t>
      </w:r>
    </w:p>
    <w:tbl>
      <w:tblPr>
        <w:tblStyle w:val="10"/>
        <w:tblpPr w:leftFromText="180" w:rightFromText="180" w:vertAnchor="text" w:horzAnchor="page" w:tblpX="1136" w:tblpY="121"/>
        <w:tblOverlap w:val="never"/>
        <w:tblW w:w="9855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83"/>
        <w:gridCol w:w="2000"/>
        <w:gridCol w:w="4456"/>
        <w:gridCol w:w="1816"/>
      </w:tblGrid>
      <w:tr w14:paraId="367B9C7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</w:trPr>
        <w:tc>
          <w:tcPr>
            <w:tcW w:w="1583" w:type="dxa"/>
            <w:vAlign w:val="center"/>
          </w:tcPr>
          <w:p w14:paraId="2589121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b/>
                <w:bCs/>
                <w:sz w:val="30"/>
                <w:szCs w:val="30"/>
              </w:rPr>
              <w:t>环节</w:t>
            </w:r>
          </w:p>
        </w:tc>
        <w:tc>
          <w:tcPr>
            <w:tcW w:w="2000" w:type="dxa"/>
            <w:vAlign w:val="center"/>
          </w:tcPr>
          <w:p w14:paraId="4FE0937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b/>
                <w:bCs/>
                <w:sz w:val="30"/>
                <w:szCs w:val="30"/>
              </w:rPr>
              <w:t>时间</w:t>
            </w:r>
          </w:p>
        </w:tc>
        <w:tc>
          <w:tcPr>
            <w:tcW w:w="4456" w:type="dxa"/>
            <w:vAlign w:val="center"/>
          </w:tcPr>
          <w:p w14:paraId="44BBEAC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b/>
                <w:bCs/>
                <w:sz w:val="30"/>
                <w:szCs w:val="30"/>
              </w:rPr>
              <w:t>内容</w:t>
            </w:r>
          </w:p>
        </w:tc>
        <w:tc>
          <w:tcPr>
            <w:tcW w:w="1816" w:type="dxa"/>
            <w:vAlign w:val="center"/>
          </w:tcPr>
          <w:p w14:paraId="5588C62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b/>
                <w:bCs/>
                <w:sz w:val="30"/>
                <w:szCs w:val="30"/>
              </w:rPr>
              <w:t>负责人</w:t>
            </w:r>
          </w:p>
        </w:tc>
      </w:tr>
      <w:tr w14:paraId="56782E7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</w:trPr>
        <w:tc>
          <w:tcPr>
            <w:tcW w:w="1583" w:type="dxa"/>
            <w:vMerge w:val="restart"/>
            <w:vAlign w:val="center"/>
          </w:tcPr>
          <w:p w14:paraId="17348E2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jc w:val="center"/>
              <w:textAlignment w:val="auto"/>
              <w:rPr>
                <w:rFonts w:hint="eastAsia" w:ascii="仿宋" w:hAnsi="仿宋" w:eastAsia="仿宋" w:cs="仿宋"/>
                <w:sz w:val="30"/>
                <w:szCs w:val="30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  <w:lang w:val="en-US" w:eastAsia="zh-CN"/>
              </w:rPr>
              <w:t>课堂观摩</w:t>
            </w:r>
          </w:p>
        </w:tc>
        <w:tc>
          <w:tcPr>
            <w:tcW w:w="2000" w:type="dxa"/>
            <w:vAlign w:val="center"/>
          </w:tcPr>
          <w:p w14:paraId="3654BE5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jc w:val="center"/>
              <w:textAlignment w:val="auto"/>
              <w:rPr>
                <w:rFonts w:hint="eastAsia" w:ascii="仿宋" w:hAnsi="仿宋" w:eastAsia="仿宋" w:cs="仿宋"/>
                <w:sz w:val="30"/>
                <w:szCs w:val="30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  <w:lang w:val="en-US" w:eastAsia="zh-CN"/>
              </w:rPr>
              <w:t>13:00-13:40</w:t>
            </w:r>
          </w:p>
          <w:p w14:paraId="582839E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jc w:val="center"/>
              <w:textAlignment w:val="auto"/>
              <w:rPr>
                <w:rFonts w:hint="eastAsia" w:ascii="仿宋" w:hAnsi="仿宋" w:eastAsia="仿宋" w:cs="仿宋"/>
                <w:sz w:val="30"/>
                <w:szCs w:val="30"/>
                <w:lang w:val="en-US" w:eastAsia="zh-CN"/>
              </w:rPr>
            </w:pPr>
          </w:p>
        </w:tc>
        <w:tc>
          <w:tcPr>
            <w:tcW w:w="4456" w:type="dxa"/>
            <w:shd w:val="clear" w:color="auto" w:fill="auto"/>
            <w:vAlign w:val="center"/>
          </w:tcPr>
          <w:p w14:paraId="7DEC2BC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jc w:val="left"/>
              <w:textAlignment w:val="auto"/>
              <w:rPr>
                <w:rFonts w:hint="eastAsia" w:ascii="仿宋" w:hAnsi="仿宋" w:eastAsia="仿宋" w:cs="仿宋"/>
                <w:sz w:val="30"/>
                <w:szCs w:val="30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  <w:lang w:val="en-US" w:eastAsia="zh-CN"/>
              </w:rPr>
              <w:t>主题班会：</w:t>
            </w:r>
          </w:p>
          <w:p w14:paraId="655F162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jc w:val="left"/>
              <w:textAlignment w:val="auto"/>
              <w:rPr>
                <w:rFonts w:hint="eastAsia" w:ascii="仿宋" w:hAnsi="仿宋" w:eastAsia="仿宋" w:cs="仿宋"/>
                <w:kern w:val="2"/>
                <w:sz w:val="30"/>
                <w:szCs w:val="30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  <w:lang w:val="en-US" w:eastAsia="zh-CN"/>
              </w:rPr>
              <w:t xml:space="preserve">   《该说“不”时就说“不”》</w:t>
            </w:r>
          </w:p>
        </w:tc>
        <w:tc>
          <w:tcPr>
            <w:tcW w:w="1816" w:type="dxa"/>
            <w:shd w:val="clear" w:color="auto" w:fill="auto"/>
            <w:vAlign w:val="center"/>
          </w:tcPr>
          <w:p w14:paraId="788481C7">
            <w:pPr>
              <w:keepNext w:val="0"/>
              <w:keepLines w:val="0"/>
              <w:pageBreakBefore w:val="0"/>
              <w:widowControl w:val="0"/>
              <w:pBdr>
                <w:bottom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jc w:val="left"/>
              <w:textAlignment w:val="auto"/>
              <w:rPr>
                <w:rFonts w:hint="eastAsia" w:ascii="仿宋" w:hAnsi="仿宋" w:eastAsia="仿宋" w:cs="仿宋"/>
                <w:kern w:val="2"/>
                <w:sz w:val="30"/>
                <w:szCs w:val="30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  <w:lang w:val="en-US" w:eastAsia="zh-CN"/>
              </w:rPr>
              <w:t>刘诗思</w:t>
            </w:r>
          </w:p>
        </w:tc>
      </w:tr>
      <w:tr w14:paraId="5F4F8A4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</w:trPr>
        <w:tc>
          <w:tcPr>
            <w:tcW w:w="1583" w:type="dxa"/>
            <w:vMerge w:val="continue"/>
            <w:vAlign w:val="center"/>
          </w:tcPr>
          <w:p w14:paraId="6DFC112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jc w:val="center"/>
              <w:textAlignment w:val="auto"/>
              <w:rPr>
                <w:rFonts w:hint="eastAsia" w:ascii="仿宋" w:hAnsi="仿宋" w:eastAsia="仿宋" w:cs="仿宋"/>
                <w:sz w:val="30"/>
                <w:szCs w:val="30"/>
                <w:lang w:val="en-US" w:eastAsia="zh-CN"/>
              </w:rPr>
            </w:pPr>
          </w:p>
        </w:tc>
        <w:tc>
          <w:tcPr>
            <w:tcW w:w="2000" w:type="dxa"/>
            <w:vAlign w:val="center"/>
          </w:tcPr>
          <w:p w14:paraId="7F2D8A0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jc w:val="center"/>
              <w:textAlignment w:val="auto"/>
              <w:rPr>
                <w:rFonts w:hint="eastAsia" w:ascii="仿宋" w:hAnsi="仿宋" w:eastAsia="仿宋" w:cs="仿宋"/>
                <w:sz w:val="30"/>
                <w:szCs w:val="30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  <w:lang w:val="en-US" w:eastAsia="zh-CN"/>
              </w:rPr>
              <w:t>13:50-14:30</w:t>
            </w:r>
          </w:p>
        </w:tc>
        <w:tc>
          <w:tcPr>
            <w:tcW w:w="4456" w:type="dxa"/>
            <w:shd w:val="clear" w:color="auto" w:fill="auto"/>
            <w:vAlign w:val="center"/>
          </w:tcPr>
          <w:p w14:paraId="0FF7C0B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jc w:val="left"/>
              <w:textAlignment w:val="auto"/>
              <w:rPr>
                <w:rFonts w:hint="eastAsia" w:ascii="仿宋" w:hAnsi="仿宋" w:eastAsia="仿宋" w:cs="仿宋"/>
                <w:sz w:val="30"/>
                <w:szCs w:val="30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  <w:lang w:val="en-US" w:eastAsia="zh-CN"/>
              </w:rPr>
              <w:t>主题班会：</w:t>
            </w:r>
          </w:p>
          <w:p w14:paraId="058826F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jc w:val="left"/>
              <w:textAlignment w:val="auto"/>
              <w:rPr>
                <w:rFonts w:hint="eastAsia" w:ascii="仿宋" w:hAnsi="仿宋" w:eastAsia="仿宋" w:cs="仿宋"/>
                <w:kern w:val="2"/>
                <w:sz w:val="30"/>
                <w:szCs w:val="30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  <w:lang w:val="en-US" w:eastAsia="zh-CN"/>
              </w:rPr>
              <w:t>《“纽”转乾坤，“扣”响爱国强音》</w:t>
            </w:r>
          </w:p>
        </w:tc>
        <w:tc>
          <w:tcPr>
            <w:tcW w:w="1816" w:type="dxa"/>
            <w:shd w:val="clear" w:color="auto" w:fill="auto"/>
            <w:vAlign w:val="center"/>
          </w:tcPr>
          <w:p w14:paraId="7A6D6F4D">
            <w:pPr>
              <w:keepNext w:val="0"/>
              <w:keepLines w:val="0"/>
              <w:pageBreakBefore w:val="0"/>
              <w:widowControl w:val="0"/>
              <w:pBdr>
                <w:bottom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jc w:val="left"/>
              <w:textAlignment w:val="auto"/>
              <w:rPr>
                <w:rFonts w:hint="eastAsia" w:ascii="仿宋" w:hAnsi="仿宋" w:eastAsia="仿宋" w:cs="仿宋"/>
                <w:kern w:val="2"/>
                <w:sz w:val="30"/>
                <w:szCs w:val="30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  <w:lang w:val="en-US" w:eastAsia="zh-CN"/>
              </w:rPr>
              <w:t>李荧娇</w:t>
            </w:r>
          </w:p>
        </w:tc>
      </w:tr>
      <w:tr w14:paraId="7164898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</w:trPr>
        <w:tc>
          <w:tcPr>
            <w:tcW w:w="1583" w:type="dxa"/>
            <w:vAlign w:val="center"/>
          </w:tcPr>
          <w:p w14:paraId="1FE9760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jc w:val="center"/>
              <w:textAlignment w:val="auto"/>
              <w:rPr>
                <w:rFonts w:hint="eastAsia" w:ascii="仿宋" w:hAnsi="仿宋" w:eastAsia="仿宋" w:cs="仿宋"/>
                <w:sz w:val="30"/>
                <w:szCs w:val="30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  <w:lang w:val="en-US" w:eastAsia="zh-CN"/>
              </w:rPr>
              <w:t>反思评课</w:t>
            </w:r>
          </w:p>
        </w:tc>
        <w:tc>
          <w:tcPr>
            <w:tcW w:w="2000" w:type="dxa"/>
            <w:vAlign w:val="center"/>
          </w:tcPr>
          <w:p w14:paraId="27BE778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jc w:val="center"/>
              <w:textAlignment w:val="auto"/>
              <w:rPr>
                <w:rFonts w:hint="eastAsia" w:ascii="仿宋" w:hAnsi="仿宋" w:eastAsia="仿宋" w:cs="仿宋"/>
                <w:sz w:val="30"/>
                <w:szCs w:val="30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  <w:lang w:val="en-US" w:eastAsia="zh-CN"/>
              </w:rPr>
              <w:t>14:40-15:00</w:t>
            </w:r>
          </w:p>
        </w:tc>
        <w:tc>
          <w:tcPr>
            <w:tcW w:w="4456" w:type="dxa"/>
            <w:vAlign w:val="center"/>
          </w:tcPr>
          <w:p w14:paraId="014DFBC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jc w:val="left"/>
              <w:textAlignment w:val="auto"/>
              <w:rPr>
                <w:rFonts w:hint="default" w:ascii="仿宋" w:hAnsi="仿宋" w:eastAsia="仿宋" w:cs="仿宋"/>
                <w:color w:val="000000"/>
                <w:sz w:val="30"/>
                <w:szCs w:val="30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30"/>
                <w:szCs w:val="30"/>
                <w:lang w:val="en-US" w:eastAsia="zh-CN"/>
              </w:rPr>
              <w:t>说课评课</w:t>
            </w:r>
          </w:p>
        </w:tc>
        <w:tc>
          <w:tcPr>
            <w:tcW w:w="1816" w:type="dxa"/>
            <w:vAlign w:val="center"/>
          </w:tcPr>
          <w:p w14:paraId="110349D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jc w:val="left"/>
              <w:textAlignment w:val="auto"/>
              <w:rPr>
                <w:rFonts w:hint="default" w:ascii="仿宋" w:hAnsi="仿宋" w:eastAsia="仿宋" w:cs="仿宋"/>
                <w:color w:val="000000"/>
                <w:sz w:val="30"/>
                <w:szCs w:val="30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30"/>
                <w:szCs w:val="30"/>
                <w:lang w:val="en-US" w:eastAsia="zh-CN"/>
              </w:rPr>
              <w:t>全体营员</w:t>
            </w:r>
          </w:p>
        </w:tc>
      </w:tr>
      <w:tr w14:paraId="4368C37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</w:trPr>
        <w:tc>
          <w:tcPr>
            <w:tcW w:w="1583" w:type="dxa"/>
            <w:vAlign w:val="center"/>
          </w:tcPr>
          <w:p w14:paraId="29D77B9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jc w:val="center"/>
              <w:textAlignment w:val="auto"/>
              <w:rPr>
                <w:rFonts w:hint="default" w:ascii="仿宋" w:hAnsi="仿宋" w:eastAsia="仿宋" w:cs="仿宋"/>
                <w:sz w:val="30"/>
                <w:szCs w:val="30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  <w:lang w:val="en-US" w:eastAsia="zh-CN"/>
              </w:rPr>
              <w:t>主题讲座</w:t>
            </w:r>
          </w:p>
        </w:tc>
        <w:tc>
          <w:tcPr>
            <w:tcW w:w="2000" w:type="dxa"/>
            <w:vAlign w:val="center"/>
          </w:tcPr>
          <w:p w14:paraId="356D5EE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jc w:val="center"/>
              <w:textAlignment w:val="auto"/>
              <w:rPr>
                <w:rFonts w:hint="default" w:ascii="仿宋" w:hAnsi="仿宋" w:eastAsia="仿宋" w:cs="仿宋"/>
                <w:sz w:val="30"/>
                <w:szCs w:val="30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  <w:lang w:val="en-US" w:eastAsia="zh-CN"/>
              </w:rPr>
              <w:t>15:00-15:15</w:t>
            </w:r>
          </w:p>
        </w:tc>
        <w:tc>
          <w:tcPr>
            <w:tcW w:w="4456" w:type="dxa"/>
            <w:vAlign w:val="center"/>
          </w:tcPr>
          <w:p w14:paraId="2DA3793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jc w:val="left"/>
              <w:textAlignment w:val="auto"/>
              <w:rPr>
                <w:rFonts w:hint="eastAsia" w:ascii="仿宋" w:hAnsi="仿宋" w:eastAsia="仿宋" w:cs="仿宋"/>
                <w:color w:val="000000"/>
                <w:sz w:val="30"/>
                <w:szCs w:val="30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30"/>
                <w:szCs w:val="30"/>
                <w:lang w:eastAsia="zh-CN"/>
              </w:rPr>
              <w:t>主题讲座：</w:t>
            </w:r>
          </w:p>
          <w:p w14:paraId="73FE57B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jc w:val="left"/>
              <w:textAlignment w:val="auto"/>
              <w:rPr>
                <w:rFonts w:hint="default" w:ascii="仿宋" w:hAnsi="仿宋" w:eastAsia="仿宋" w:cs="仿宋"/>
                <w:color w:val="000000"/>
                <w:sz w:val="30"/>
                <w:szCs w:val="30"/>
                <w:lang w:val="en-US" w:eastAsia="zh-CN"/>
              </w:rPr>
            </w:pPr>
            <w:r>
              <w:rPr>
                <w:rFonts w:hint="default" w:ascii="仿宋" w:hAnsi="仿宋" w:eastAsia="仿宋" w:cs="仿宋"/>
                <w:color w:val="000000"/>
                <w:sz w:val="30"/>
                <w:szCs w:val="30"/>
                <w:lang w:val="en-US" w:eastAsia="zh-CN"/>
              </w:rPr>
              <w:t>《知行合一·三阶赋能：基于语文教学与班级建设的综合融通新生态构建》</w:t>
            </w:r>
          </w:p>
        </w:tc>
        <w:tc>
          <w:tcPr>
            <w:tcW w:w="1816" w:type="dxa"/>
            <w:vAlign w:val="center"/>
          </w:tcPr>
          <w:p w14:paraId="5F56452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jc w:val="left"/>
              <w:textAlignment w:val="auto"/>
              <w:rPr>
                <w:rFonts w:hint="default" w:ascii="仿宋" w:hAnsi="仿宋" w:eastAsia="仿宋" w:cs="仿宋"/>
                <w:color w:val="000000"/>
                <w:sz w:val="30"/>
                <w:szCs w:val="30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30"/>
                <w:szCs w:val="30"/>
                <w:lang w:val="en-US" w:eastAsia="zh-CN"/>
              </w:rPr>
              <w:t>柳溪</w:t>
            </w:r>
          </w:p>
        </w:tc>
      </w:tr>
      <w:tr w14:paraId="3117F1F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</w:trPr>
        <w:tc>
          <w:tcPr>
            <w:tcW w:w="1583" w:type="dxa"/>
            <w:vAlign w:val="center"/>
          </w:tcPr>
          <w:p w14:paraId="55B1C26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jc w:val="center"/>
              <w:textAlignment w:val="auto"/>
              <w:rPr>
                <w:rFonts w:hint="default" w:ascii="仿宋" w:hAnsi="仿宋" w:eastAsia="仿宋" w:cs="仿宋"/>
                <w:sz w:val="30"/>
                <w:szCs w:val="30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  <w:lang w:val="en-US" w:eastAsia="zh-CN"/>
              </w:rPr>
              <w:t>课题论证</w:t>
            </w:r>
          </w:p>
        </w:tc>
        <w:tc>
          <w:tcPr>
            <w:tcW w:w="2000" w:type="dxa"/>
            <w:vAlign w:val="center"/>
          </w:tcPr>
          <w:p w14:paraId="3045ABB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jc w:val="center"/>
              <w:textAlignment w:val="auto"/>
              <w:rPr>
                <w:rFonts w:hint="default" w:ascii="仿宋" w:hAnsi="仿宋" w:eastAsia="仿宋" w:cs="仿宋"/>
                <w:sz w:val="30"/>
                <w:szCs w:val="30"/>
                <w:highlight w:val="yellow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  <w:lang w:val="en-US" w:eastAsia="zh-CN"/>
              </w:rPr>
              <w:t>15:20-16:00</w:t>
            </w:r>
          </w:p>
        </w:tc>
        <w:tc>
          <w:tcPr>
            <w:tcW w:w="4456" w:type="dxa"/>
            <w:vAlign w:val="center"/>
          </w:tcPr>
          <w:p w14:paraId="739D60C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jc w:val="left"/>
              <w:textAlignment w:val="auto"/>
              <w:rPr>
                <w:rFonts w:hint="default" w:ascii="仿宋" w:hAnsi="仿宋" w:eastAsia="仿宋" w:cs="仿宋"/>
                <w:color w:val="000000"/>
                <w:sz w:val="30"/>
                <w:szCs w:val="30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30"/>
                <w:szCs w:val="30"/>
                <w:lang w:val="en-US" w:eastAsia="zh-CN"/>
              </w:rPr>
              <w:t>课题中期评估报告论证</w:t>
            </w:r>
          </w:p>
        </w:tc>
        <w:tc>
          <w:tcPr>
            <w:tcW w:w="1816" w:type="dxa"/>
            <w:vAlign w:val="center"/>
          </w:tcPr>
          <w:p w14:paraId="701A651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jc w:val="left"/>
              <w:textAlignment w:val="auto"/>
              <w:rPr>
                <w:rFonts w:hint="default" w:ascii="仿宋" w:hAnsi="仿宋" w:eastAsia="仿宋" w:cs="仿宋"/>
                <w:color w:val="000000"/>
                <w:sz w:val="30"/>
                <w:szCs w:val="30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30"/>
                <w:szCs w:val="30"/>
                <w:lang w:val="en-US" w:eastAsia="zh-CN"/>
              </w:rPr>
              <w:t>课题组成员</w:t>
            </w:r>
          </w:p>
        </w:tc>
      </w:tr>
    </w:tbl>
    <w:p w14:paraId="1C8666E6">
      <w:pPr>
        <w:pStyle w:val="9"/>
        <w:widowControl/>
        <w:spacing w:before="120" w:line="228" w:lineRule="auto"/>
        <w:rPr>
          <w:rFonts w:hint="eastAsia" w:ascii="微软雅黑" w:hAnsi="微软雅黑" w:eastAsia="微软雅黑" w:cs="微软雅黑"/>
          <w:color w:val="000000"/>
          <w:spacing w:val="-11"/>
        </w:rPr>
      </w:pPr>
    </w:p>
    <w:p w14:paraId="0E54BF2C">
      <w:pPr>
        <w:pStyle w:val="4"/>
        <w:rPr>
          <w:rFonts w:hint="eastAsia" w:ascii="微软雅黑" w:hAnsi="微软雅黑" w:eastAsia="微软雅黑" w:cs="微软雅黑"/>
          <w:color w:val="000000" w:themeColor="text1"/>
          <w:spacing w:val="-1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:spacing w:val="-10"/>
          <w:sz w:val="28"/>
          <w:szCs w:val="28"/>
          <w14:textFill>
            <w14:solidFill>
              <w14:schemeClr w14:val="tx1"/>
            </w14:solidFill>
          </w14:textFill>
        </w:rPr>
        <w:t>【四、活动报道及网址】（精选4张左右照片、附在报道后面）</w:t>
      </w:r>
    </w:p>
    <w:p w14:paraId="5F007B78">
      <w:pPr>
        <w:rPr>
          <w:rFonts w:hint="eastAsia"/>
          <w:sz w:val="24"/>
          <w:szCs w:val="24"/>
          <w:lang w:val="en-US" w:eastAsia="zh-CN"/>
        </w:rPr>
      </w:pPr>
      <w:r>
        <w:rPr>
          <w:rFonts w:hint="eastAsia" w:eastAsia="宋体"/>
          <w:b/>
          <w:bCs/>
          <w:sz w:val="24"/>
          <w:szCs w:val="24"/>
          <w:lang w:val="en-US" w:eastAsia="zh-CN"/>
        </w:rPr>
        <w:t>网址：</w:t>
      </w:r>
      <w:r>
        <w:rPr>
          <w:rFonts w:hint="eastAsia"/>
          <w:b/>
          <w:bCs/>
        </w:rPr>
        <w:t>http://www.xbjyfw.cn/html/article6807117.html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 </w:t>
      </w:r>
      <w:r>
        <w:rPr>
          <w:rFonts w:hint="eastAsia"/>
          <w:lang w:val="en-US" w:eastAsia="zh-CN"/>
        </w:rPr>
        <w:t xml:space="preserve">   </w:t>
      </w:r>
      <w:r>
        <w:rPr>
          <w:rFonts w:hint="eastAsia"/>
          <w:sz w:val="24"/>
          <w:szCs w:val="24"/>
          <w:lang w:val="en-US" w:eastAsia="zh-CN"/>
        </w:rPr>
        <w:t xml:space="preserve"> </w:t>
      </w:r>
    </w:p>
    <w:p w14:paraId="308377CB">
      <w:pPr>
        <w:ind w:firstLineChars="200"/>
        <w:jc w:val="center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生·长：融通教育新生态构建</w:t>
      </w:r>
    </w:p>
    <w:p w14:paraId="6348C975">
      <w:pPr>
        <w:ind w:firstLineChars="200"/>
        <w:jc w:val="center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——新北区林燕群卓越班主任成长营第十九次活动</w:t>
      </w:r>
    </w:p>
    <w:p w14:paraId="EF1DF029">
      <w:pPr>
        <w:ind w:firstLineChars="200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夏木阴阴，蝉鸣悠悠，美好的六月如诗如歌。6月18日下午，新北区林燕群卓越班主任成长营第十九次活动于三井小学开展。以</w:t>
      </w:r>
      <w:r>
        <w:rPr>
          <w:rFonts w:hint="eastAsia"/>
          <w:sz w:val="24"/>
          <w:szCs w:val="24"/>
          <w:lang w:val="en-US" w:eastAsia="zh-CN"/>
        </w:rPr>
        <w:t>“</w:t>
      </w:r>
      <w:r>
        <w:rPr>
          <w:sz w:val="24"/>
          <w:szCs w:val="24"/>
          <w:lang w:val="en-US"/>
        </w:rPr>
        <w:t>生·长：融通教育新生态构建</w:t>
      </w:r>
      <w:r>
        <w:rPr>
          <w:rFonts w:hint="eastAsia"/>
          <w:sz w:val="24"/>
          <w:szCs w:val="24"/>
          <w:lang w:val="en-US" w:eastAsia="zh-CN"/>
        </w:rPr>
        <w:t>”</w:t>
      </w:r>
      <w:r>
        <w:rPr>
          <w:sz w:val="24"/>
          <w:szCs w:val="24"/>
          <w:lang w:val="en-US"/>
        </w:rPr>
        <w:t>为主题，全体营员共同探讨了学生成长的发展规律和班级</w:t>
      </w:r>
      <w:r>
        <w:rPr>
          <w:rFonts w:hint="eastAsia"/>
          <w:sz w:val="24"/>
          <w:szCs w:val="24"/>
          <w:lang w:val="en-US" w:eastAsia="zh-CN"/>
        </w:rPr>
        <w:t>建设</w:t>
      </w:r>
      <w:r>
        <w:rPr>
          <w:sz w:val="24"/>
          <w:szCs w:val="24"/>
          <w:lang w:val="en-US"/>
        </w:rPr>
        <w:t>的新样态。</w:t>
      </w:r>
    </w:p>
    <w:p w14:paraId="A9BC4003">
      <w:pPr>
        <w:ind w:firstLineChars="200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三井小学的刘诗思老师执教了《该说</w:t>
      </w:r>
      <w:r>
        <w:rPr>
          <w:rFonts w:hint="eastAsia"/>
          <w:sz w:val="24"/>
          <w:szCs w:val="24"/>
          <w:lang w:val="en-US" w:eastAsia="zh-CN"/>
        </w:rPr>
        <w:t>“</w:t>
      </w:r>
      <w:r>
        <w:rPr>
          <w:sz w:val="24"/>
          <w:szCs w:val="24"/>
          <w:lang w:val="en-US"/>
        </w:rPr>
        <w:t>不</w:t>
      </w:r>
      <w:r>
        <w:rPr>
          <w:rFonts w:hint="eastAsia"/>
          <w:sz w:val="24"/>
          <w:szCs w:val="24"/>
          <w:lang w:val="en-US" w:eastAsia="zh-CN"/>
        </w:rPr>
        <w:t>”</w:t>
      </w:r>
      <w:r>
        <w:rPr>
          <w:sz w:val="24"/>
          <w:szCs w:val="24"/>
          <w:lang w:val="en-US"/>
        </w:rPr>
        <w:t>时就说</w:t>
      </w:r>
      <w:r>
        <w:rPr>
          <w:rFonts w:hint="eastAsia"/>
          <w:sz w:val="24"/>
          <w:szCs w:val="24"/>
          <w:lang w:val="en-US" w:eastAsia="zh-CN"/>
        </w:rPr>
        <w:t>“</w:t>
      </w:r>
      <w:r>
        <w:rPr>
          <w:sz w:val="24"/>
          <w:szCs w:val="24"/>
          <w:lang w:val="en-US"/>
        </w:rPr>
        <w:t>不</w:t>
      </w:r>
      <w:r>
        <w:rPr>
          <w:rFonts w:hint="eastAsia"/>
          <w:sz w:val="24"/>
          <w:szCs w:val="24"/>
          <w:lang w:val="en-US" w:eastAsia="zh-CN"/>
        </w:rPr>
        <w:t>”</w:t>
      </w:r>
      <w:r>
        <w:rPr>
          <w:sz w:val="24"/>
          <w:szCs w:val="24"/>
          <w:lang w:val="en-US"/>
        </w:rPr>
        <w:t>》的主题班会课。本节课以</w:t>
      </w:r>
      <w:r>
        <w:rPr>
          <w:rFonts w:hint="eastAsia"/>
          <w:sz w:val="24"/>
          <w:szCs w:val="24"/>
          <w:lang w:val="en-US" w:eastAsia="zh-CN"/>
        </w:rPr>
        <w:t>“</w:t>
      </w:r>
      <w:r>
        <w:rPr>
          <w:sz w:val="24"/>
          <w:szCs w:val="24"/>
          <w:lang w:val="en-US"/>
        </w:rPr>
        <w:t>好好</w:t>
      </w:r>
      <w:r>
        <w:rPr>
          <w:rFonts w:hint="eastAsia"/>
          <w:sz w:val="24"/>
          <w:szCs w:val="24"/>
          <w:lang w:val="en-US" w:eastAsia="zh-CN"/>
        </w:rPr>
        <w:t>”</w:t>
      </w:r>
      <w:r>
        <w:rPr>
          <w:sz w:val="24"/>
          <w:szCs w:val="24"/>
          <w:lang w:val="en-US"/>
        </w:rPr>
        <w:t>同学的一封信巧妙串联，通过分享</w:t>
      </w:r>
      <w:r>
        <w:rPr>
          <w:rFonts w:hint="eastAsia"/>
          <w:sz w:val="24"/>
          <w:szCs w:val="24"/>
          <w:lang w:val="en-US" w:eastAsia="zh-CN"/>
        </w:rPr>
        <w:t>“</w:t>
      </w:r>
      <w:r>
        <w:rPr>
          <w:sz w:val="24"/>
          <w:szCs w:val="24"/>
          <w:lang w:val="en-US"/>
        </w:rPr>
        <w:t>小懊悔</w:t>
      </w:r>
      <w:r>
        <w:rPr>
          <w:rFonts w:hint="eastAsia"/>
          <w:sz w:val="24"/>
          <w:szCs w:val="24"/>
          <w:lang w:val="en-US" w:eastAsia="zh-CN"/>
        </w:rPr>
        <w:t>”</w:t>
      </w:r>
      <w:r>
        <w:rPr>
          <w:sz w:val="24"/>
          <w:szCs w:val="24"/>
          <w:lang w:val="en-US"/>
        </w:rPr>
        <w:t>，感知该拒绝时不拒绝的难受，明晰“不合规、不合理、不舒心”情况下需要勇敢拒绝；说说</w:t>
      </w:r>
      <w:r>
        <w:rPr>
          <w:rFonts w:hint="eastAsia"/>
          <w:sz w:val="24"/>
          <w:szCs w:val="24"/>
          <w:lang w:val="en-US" w:eastAsia="zh-CN"/>
        </w:rPr>
        <w:t>“</w:t>
      </w:r>
      <w:r>
        <w:rPr>
          <w:sz w:val="24"/>
          <w:szCs w:val="24"/>
          <w:lang w:val="en-US"/>
        </w:rPr>
        <w:t>小成功</w:t>
      </w:r>
      <w:r>
        <w:rPr>
          <w:rFonts w:hint="eastAsia"/>
          <w:sz w:val="24"/>
          <w:szCs w:val="24"/>
          <w:lang w:val="en-US" w:eastAsia="zh-CN"/>
        </w:rPr>
        <w:t>”</w:t>
      </w:r>
      <w:r>
        <w:rPr>
          <w:sz w:val="24"/>
          <w:szCs w:val="24"/>
          <w:lang w:val="en-US"/>
        </w:rPr>
        <w:t>，学习三明治拒绝法，帮助好好同学正确拒绝；情境演绎再现，弥补</w:t>
      </w:r>
      <w:r>
        <w:rPr>
          <w:rFonts w:hint="eastAsia"/>
          <w:sz w:val="24"/>
          <w:szCs w:val="24"/>
          <w:lang w:val="en-US" w:eastAsia="zh-CN"/>
        </w:rPr>
        <w:t>“</w:t>
      </w:r>
      <w:r>
        <w:rPr>
          <w:sz w:val="24"/>
          <w:szCs w:val="24"/>
          <w:lang w:val="en-US"/>
        </w:rPr>
        <w:t>小懊悔</w:t>
      </w:r>
      <w:r>
        <w:rPr>
          <w:rFonts w:hint="eastAsia"/>
          <w:sz w:val="24"/>
          <w:szCs w:val="24"/>
          <w:lang w:val="en-US" w:eastAsia="zh-CN"/>
        </w:rPr>
        <w:t>”</w:t>
      </w:r>
      <w:r>
        <w:rPr>
          <w:sz w:val="24"/>
          <w:szCs w:val="24"/>
          <w:lang w:val="en-US"/>
        </w:rPr>
        <w:t>，取得自己的</w:t>
      </w:r>
      <w:r>
        <w:rPr>
          <w:rFonts w:hint="eastAsia"/>
          <w:sz w:val="24"/>
          <w:szCs w:val="24"/>
          <w:lang w:val="en-US" w:eastAsia="zh-CN"/>
        </w:rPr>
        <w:t>“</w:t>
      </w:r>
      <w:r>
        <w:rPr>
          <w:sz w:val="24"/>
          <w:szCs w:val="24"/>
          <w:lang w:val="en-US"/>
        </w:rPr>
        <w:t>小收获</w:t>
      </w:r>
      <w:r>
        <w:rPr>
          <w:rFonts w:hint="eastAsia"/>
          <w:sz w:val="24"/>
          <w:szCs w:val="24"/>
          <w:lang w:val="en-US" w:eastAsia="zh-CN"/>
        </w:rPr>
        <w:t>”</w:t>
      </w:r>
      <w:r>
        <w:rPr>
          <w:sz w:val="24"/>
          <w:szCs w:val="24"/>
          <w:lang w:val="en-US"/>
        </w:rPr>
        <w:t>。此次班会课，有助于学生在以后的生活中不做</w:t>
      </w:r>
      <w:r>
        <w:rPr>
          <w:rFonts w:hint="eastAsia"/>
          <w:sz w:val="24"/>
          <w:szCs w:val="24"/>
          <w:lang w:val="en-US" w:eastAsia="zh-CN"/>
        </w:rPr>
        <w:t>“</w:t>
      </w:r>
      <w:r>
        <w:rPr>
          <w:sz w:val="24"/>
          <w:szCs w:val="24"/>
          <w:lang w:val="en-US"/>
        </w:rPr>
        <w:t>好好</w:t>
      </w:r>
      <w:r>
        <w:rPr>
          <w:rFonts w:hint="eastAsia"/>
          <w:sz w:val="24"/>
          <w:szCs w:val="24"/>
          <w:lang w:val="en-US" w:eastAsia="zh-CN"/>
        </w:rPr>
        <w:t>”</w:t>
      </w:r>
      <w:r>
        <w:rPr>
          <w:sz w:val="24"/>
          <w:szCs w:val="24"/>
          <w:lang w:val="en-US"/>
        </w:rPr>
        <w:t>同学，更勇敢地说</w:t>
      </w:r>
      <w:r>
        <w:rPr>
          <w:rFonts w:hint="eastAsia"/>
          <w:sz w:val="24"/>
          <w:szCs w:val="24"/>
          <w:lang w:val="en-US" w:eastAsia="zh-CN"/>
        </w:rPr>
        <w:t>“不”</w:t>
      </w:r>
      <w:r>
        <w:rPr>
          <w:sz w:val="24"/>
          <w:szCs w:val="24"/>
          <w:lang w:val="en-US"/>
        </w:rPr>
        <w:t>，构建和谐班级。</w:t>
      </w:r>
    </w:p>
    <w:p w14:paraId="73404342">
      <w:pPr>
        <w:ind w:firstLineChars="200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奔牛实验小学的李荧娇执教了《</w:t>
      </w:r>
      <w:r>
        <w:rPr>
          <w:rFonts w:hint="eastAsia"/>
          <w:sz w:val="24"/>
          <w:szCs w:val="24"/>
          <w:lang w:val="en-US" w:eastAsia="zh-CN"/>
        </w:rPr>
        <w:t>“</w:t>
      </w:r>
      <w:r>
        <w:rPr>
          <w:sz w:val="24"/>
          <w:szCs w:val="24"/>
          <w:lang w:val="en-US"/>
        </w:rPr>
        <w:t>纽</w:t>
      </w:r>
      <w:r>
        <w:rPr>
          <w:rFonts w:hint="eastAsia"/>
          <w:sz w:val="24"/>
          <w:szCs w:val="24"/>
          <w:lang w:val="en-US" w:eastAsia="zh-CN"/>
        </w:rPr>
        <w:t>”</w:t>
      </w:r>
      <w:r>
        <w:rPr>
          <w:sz w:val="24"/>
          <w:szCs w:val="24"/>
          <w:lang w:val="en-US"/>
        </w:rPr>
        <w:t xml:space="preserve">转乾坤 </w:t>
      </w:r>
      <w:r>
        <w:rPr>
          <w:rFonts w:hint="eastAsia"/>
          <w:sz w:val="24"/>
          <w:szCs w:val="24"/>
          <w:lang w:val="en-US" w:eastAsia="zh-CN"/>
        </w:rPr>
        <w:t xml:space="preserve"> “</w:t>
      </w:r>
      <w:r>
        <w:rPr>
          <w:sz w:val="24"/>
          <w:szCs w:val="24"/>
          <w:lang w:val="en-US"/>
        </w:rPr>
        <w:t>扣</w:t>
      </w:r>
      <w:r>
        <w:rPr>
          <w:rFonts w:hint="eastAsia"/>
          <w:sz w:val="24"/>
          <w:szCs w:val="24"/>
          <w:lang w:val="en-US" w:eastAsia="zh-CN"/>
        </w:rPr>
        <w:t>”</w:t>
      </w:r>
      <w:r>
        <w:rPr>
          <w:sz w:val="24"/>
          <w:szCs w:val="24"/>
          <w:lang w:val="en-US"/>
        </w:rPr>
        <w:t>响爱国强音》的主题班会课。课堂上，AI扣扣带领学生进行了纽扣发展的时光之旅。首先通过军帽款式的选择，感知了中华儿女奋勇向前、矢志不渝的崇高精神；其次，以</w:t>
      </w:r>
      <w:r>
        <w:rPr>
          <w:rFonts w:hint="eastAsia"/>
          <w:sz w:val="24"/>
          <w:szCs w:val="24"/>
          <w:lang w:val="en-US" w:eastAsia="zh-CN"/>
        </w:rPr>
        <w:t>“</w:t>
      </w:r>
      <w:r>
        <w:rPr>
          <w:sz w:val="24"/>
          <w:szCs w:val="24"/>
          <w:lang w:val="en-US"/>
        </w:rPr>
        <w:t>桥头纽扣行业发展</w:t>
      </w:r>
      <w:r>
        <w:rPr>
          <w:rFonts w:hint="eastAsia"/>
          <w:sz w:val="24"/>
          <w:szCs w:val="24"/>
          <w:lang w:val="en-US" w:eastAsia="zh-CN"/>
        </w:rPr>
        <w:t>”</w:t>
      </w:r>
      <w:r>
        <w:rPr>
          <w:sz w:val="24"/>
          <w:szCs w:val="24"/>
          <w:lang w:val="en-US"/>
        </w:rPr>
        <w:t>为例，通过视频和数据对比，感受到新中国的高速发展；最后，以</w:t>
      </w:r>
      <w:r>
        <w:rPr>
          <w:rFonts w:hint="eastAsia"/>
          <w:sz w:val="24"/>
          <w:szCs w:val="24"/>
          <w:lang w:val="en-US" w:eastAsia="zh-CN"/>
        </w:rPr>
        <w:t>“</w:t>
      </w:r>
      <w:r>
        <w:rPr>
          <w:sz w:val="24"/>
          <w:szCs w:val="24"/>
          <w:lang w:val="en-US"/>
        </w:rPr>
        <w:t>纽扣行业的发展困境</w:t>
      </w:r>
      <w:r>
        <w:rPr>
          <w:rFonts w:hint="eastAsia"/>
          <w:sz w:val="24"/>
          <w:szCs w:val="24"/>
          <w:lang w:val="en-US" w:eastAsia="zh-CN"/>
        </w:rPr>
        <w:t>”</w:t>
      </w:r>
      <w:r>
        <w:rPr>
          <w:sz w:val="24"/>
          <w:szCs w:val="24"/>
          <w:lang w:val="en-US"/>
        </w:rPr>
        <w:t>为思考点，关注当下中国工业发展的实际困境。通过小组合作设计创意纽扣，激发了学生的创新意识。本堂课从</w:t>
      </w:r>
      <w:r>
        <w:rPr>
          <w:rFonts w:hint="eastAsia"/>
          <w:sz w:val="24"/>
          <w:szCs w:val="24"/>
          <w:lang w:val="en-US" w:eastAsia="zh-CN"/>
        </w:rPr>
        <w:t>“</w:t>
      </w:r>
      <w:r>
        <w:rPr>
          <w:sz w:val="24"/>
          <w:szCs w:val="24"/>
          <w:lang w:val="en-US"/>
        </w:rPr>
        <w:t>纽扣</w:t>
      </w:r>
      <w:r>
        <w:rPr>
          <w:rFonts w:hint="eastAsia"/>
          <w:sz w:val="24"/>
          <w:szCs w:val="24"/>
          <w:lang w:val="en-US" w:eastAsia="zh-CN"/>
        </w:rPr>
        <w:t>”</w:t>
      </w:r>
      <w:r>
        <w:rPr>
          <w:sz w:val="24"/>
          <w:szCs w:val="24"/>
          <w:lang w:val="en-US"/>
        </w:rPr>
        <w:t>这一看似平凡无奇的小物件切入，引领学生体悟新中国持续突破困境、勇攀高峰的态势，激发了学生的爱国情怀与民族自豪感。</w:t>
      </w:r>
    </w:p>
    <w:p w14:paraId="A3F95FA2">
      <w:pPr>
        <w:ind w:firstLineChars="200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聚焦研讨主题，两位执教老师进行说课之后，杨楹老师、朱灿老师和孔晶老师进行了评课。领衔人林燕群副校长高度肯定两位老师站在</w:t>
      </w:r>
      <w:r>
        <w:rPr>
          <w:rFonts w:hint="eastAsia"/>
          <w:sz w:val="24"/>
          <w:szCs w:val="24"/>
          <w:lang w:val="en-US" w:eastAsia="zh-CN"/>
        </w:rPr>
        <w:t>全人</w:t>
      </w:r>
      <w:r>
        <w:rPr>
          <w:sz w:val="24"/>
          <w:szCs w:val="24"/>
          <w:lang w:val="en-US"/>
        </w:rPr>
        <w:t>发展的角度去设计班会课，不论是对</w:t>
      </w:r>
      <w:r>
        <w:rPr>
          <w:rFonts w:hint="eastAsia"/>
          <w:sz w:val="24"/>
          <w:szCs w:val="24"/>
          <w:lang w:val="en-US" w:eastAsia="zh-CN"/>
        </w:rPr>
        <w:t>学生当下</w:t>
      </w:r>
      <w:r>
        <w:rPr>
          <w:sz w:val="24"/>
          <w:szCs w:val="24"/>
          <w:lang w:val="en-US"/>
        </w:rPr>
        <w:t>的学习生活，还是对</w:t>
      </w:r>
      <w:r>
        <w:rPr>
          <w:rFonts w:hint="eastAsia"/>
          <w:sz w:val="24"/>
          <w:szCs w:val="24"/>
          <w:lang w:val="en-US" w:eastAsia="zh-CN"/>
        </w:rPr>
        <w:t>其</w:t>
      </w:r>
      <w:r>
        <w:rPr>
          <w:sz w:val="24"/>
          <w:szCs w:val="24"/>
          <w:lang w:val="en-US"/>
        </w:rPr>
        <w:t>未来的人际交往与思维发展都大有裨益。</w:t>
      </w:r>
      <w:r>
        <w:rPr>
          <w:rFonts w:hint="eastAsia"/>
          <w:sz w:val="24"/>
          <w:szCs w:val="24"/>
          <w:lang w:val="en-US" w:eastAsia="zh-CN"/>
        </w:rPr>
        <w:t>后期，</w:t>
      </w:r>
      <w:r>
        <w:rPr>
          <w:sz w:val="24"/>
          <w:szCs w:val="24"/>
          <w:lang w:val="en-US"/>
        </w:rPr>
        <w:t>我们要积极打破学科界限，</w:t>
      </w:r>
      <w:r>
        <w:rPr>
          <w:rFonts w:hint="eastAsia"/>
          <w:sz w:val="24"/>
          <w:szCs w:val="24"/>
          <w:lang w:val="en-US" w:eastAsia="zh-CN"/>
        </w:rPr>
        <w:t>依托主题项目的平台，尝试学科教学与班级建设的整合融通，在实践中促进自身</w:t>
      </w:r>
      <w:r>
        <w:rPr>
          <w:sz w:val="24"/>
          <w:szCs w:val="24"/>
          <w:lang w:val="en-US"/>
        </w:rPr>
        <w:t>教育理念</w:t>
      </w:r>
      <w:r>
        <w:rPr>
          <w:rFonts w:hint="eastAsia"/>
          <w:sz w:val="24"/>
          <w:szCs w:val="24"/>
          <w:lang w:val="en-US" w:eastAsia="zh-CN"/>
        </w:rPr>
        <w:t>的转变，以学习方式的变革带动学生班级生活样态的提质升级</w:t>
      </w:r>
      <w:r>
        <w:rPr>
          <w:sz w:val="24"/>
          <w:szCs w:val="24"/>
          <w:lang w:val="en-US"/>
        </w:rPr>
        <w:t>。</w:t>
      </w:r>
    </w:p>
    <w:p w14:paraId="AC932B5C">
      <w:pPr>
        <w:ind w:firstLineChars="200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新桥第二实验小学的柳溪老师带来了《知行合一，三阶赋能：基于语文教学与班级建设的综合融通新生态构建》的讲座。主要从知识赋能、思维赋能、实践赋能三个方面，把提高学生的语文素养与班级建设相融合的班级活动娓娓道来，给予</w:t>
      </w:r>
      <w:r>
        <w:rPr>
          <w:rFonts w:hint="eastAsia"/>
          <w:sz w:val="24"/>
          <w:szCs w:val="24"/>
          <w:lang w:val="en-US" w:eastAsia="zh-CN"/>
        </w:rPr>
        <w:t>其他</w:t>
      </w:r>
      <w:r>
        <w:rPr>
          <w:sz w:val="24"/>
          <w:szCs w:val="24"/>
          <w:lang w:val="en-US"/>
        </w:rPr>
        <w:t>营员很多启发。</w:t>
      </w:r>
    </w:p>
    <w:p w14:paraId="7B853137">
      <w:pPr>
        <w:ind w:firstLineChars="200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最后</w:t>
      </w:r>
      <w:r>
        <w:rPr>
          <w:rFonts w:hint="eastAsia"/>
          <w:sz w:val="24"/>
          <w:szCs w:val="24"/>
          <w:lang w:val="en-US" w:eastAsia="zh-CN"/>
        </w:rPr>
        <w:t>两个</w:t>
      </w:r>
      <w:r>
        <w:rPr>
          <w:sz w:val="24"/>
          <w:szCs w:val="24"/>
          <w:lang w:val="en-US"/>
        </w:rPr>
        <w:t>课题</w:t>
      </w:r>
      <w:r>
        <w:rPr>
          <w:rFonts w:hint="eastAsia"/>
          <w:sz w:val="24"/>
          <w:szCs w:val="24"/>
          <w:lang w:val="en-US" w:eastAsia="zh-CN"/>
        </w:rPr>
        <w:t>组在组长带领下进行</w:t>
      </w:r>
      <w:r>
        <w:rPr>
          <w:sz w:val="24"/>
          <w:szCs w:val="24"/>
          <w:lang w:val="en-US"/>
        </w:rPr>
        <w:t>分组讨论，</w:t>
      </w:r>
      <w:r>
        <w:rPr>
          <w:rFonts w:hint="eastAsia"/>
          <w:sz w:val="24"/>
          <w:szCs w:val="24"/>
          <w:lang w:val="en-US" w:eastAsia="zh-CN"/>
        </w:rPr>
        <w:t>细化</w:t>
      </w:r>
      <w:r>
        <w:rPr>
          <w:sz w:val="24"/>
          <w:szCs w:val="24"/>
          <w:lang w:val="en-US"/>
        </w:rPr>
        <w:t>了</w:t>
      </w:r>
      <w:r>
        <w:rPr>
          <w:rFonts w:hint="eastAsia"/>
          <w:sz w:val="24"/>
          <w:szCs w:val="24"/>
          <w:lang w:val="en-US" w:eastAsia="zh-CN"/>
        </w:rPr>
        <w:t>课题</w:t>
      </w:r>
      <w:r>
        <w:rPr>
          <w:sz w:val="24"/>
          <w:szCs w:val="24"/>
          <w:lang w:val="en-US"/>
        </w:rPr>
        <w:t>中期</w:t>
      </w:r>
      <w:r>
        <w:rPr>
          <w:rFonts w:hint="eastAsia"/>
          <w:sz w:val="24"/>
          <w:szCs w:val="24"/>
          <w:lang w:val="en-US" w:eastAsia="zh-CN"/>
        </w:rPr>
        <w:t>评估准备工作。</w:t>
      </w:r>
    </w:p>
    <w:p w14:paraId="2598F157">
      <w:pPr>
        <w:ind w:firstLineChars="200"/>
        <w:jc w:val="left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此次活动，是经验的交融，是智慧的集结</w:t>
      </w:r>
      <w:r>
        <w:rPr>
          <w:rFonts w:hint="eastAsia"/>
          <w:sz w:val="24"/>
          <w:szCs w:val="24"/>
          <w:lang w:val="en-US" w:eastAsia="zh-CN"/>
        </w:rPr>
        <w:t>，也是全体营员在班主任专业发展中的又一生长节点</w:t>
      </w:r>
      <w:r>
        <w:rPr>
          <w:sz w:val="24"/>
          <w:szCs w:val="24"/>
          <w:lang w:val="en-US"/>
        </w:rPr>
        <w:t>。</w:t>
      </w:r>
    </w:p>
    <w:p w14:paraId="5E78ACC0">
      <w:pPr>
        <w:ind w:firstLineChars="200"/>
        <w:jc w:val="right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                                                            报道：支慧</w:t>
      </w:r>
    </w:p>
    <w:p w14:paraId="0A1BC7D6">
      <w:pPr>
        <w:ind w:firstLineChars="200"/>
        <w:jc w:val="right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                拍照：孙洁</w:t>
      </w:r>
    </w:p>
    <w:p w14:paraId="7FFAE789">
      <w:pPr>
        <w:ind w:firstLineChars="200"/>
        <w:jc w:val="right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审核：林燕群</w:t>
      </w:r>
    </w:p>
    <w:p w14:paraId="451FB55C">
      <w:pPr>
        <w:ind w:firstLineChars="200"/>
        <w:jc w:val="right"/>
        <w:rPr>
          <w:sz w:val="24"/>
          <w:szCs w:val="24"/>
          <w:lang w:val="en-US"/>
        </w:rPr>
      </w:pPr>
    </w:p>
    <w:p w14:paraId="4A0D5382">
      <w:pPr>
        <w:rPr>
          <w:rFonts w:ascii="宋体" w:hAnsi="宋体" w:eastAsia="宋体" w:cs="宋体"/>
          <w:sz w:val="24"/>
          <w:szCs w:val="24"/>
        </w:rPr>
      </w:pPr>
    </w:p>
    <w:p w14:paraId="2A39687F"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73675" cy="3701415"/>
            <wp:effectExtent l="0" t="0" r="3175" b="13335"/>
            <wp:docPr id="14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4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7014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2E68FA3"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80025" cy="3959860"/>
            <wp:effectExtent l="0" t="0" r="15875" b="2540"/>
            <wp:docPr id="15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5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80025" cy="39598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4C06ECE"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3005455" cy="2792095"/>
            <wp:effectExtent l="0" t="0" r="4445" b="8255"/>
            <wp:docPr id="16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6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05455" cy="27920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540000" cy="2812415"/>
            <wp:effectExtent l="0" t="0" r="12700" b="6985"/>
            <wp:docPr id="17" name="图片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7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28124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5795AFB">
      <w:pPr>
        <w:rPr>
          <w:rFonts w:ascii="宋体" w:hAnsi="宋体" w:eastAsia="宋体" w:cs="宋体"/>
          <w:sz w:val="24"/>
          <w:szCs w:val="24"/>
        </w:rPr>
      </w:pPr>
    </w:p>
    <w:p w14:paraId="68386FD6"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793365" cy="2496185"/>
            <wp:effectExtent l="0" t="0" r="6985" b="18415"/>
            <wp:docPr id="18" name="图片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8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93365" cy="24961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763520" cy="2470150"/>
            <wp:effectExtent l="0" t="0" r="17780" b="6350"/>
            <wp:docPr id="19" name="图片 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9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63520" cy="2470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CD51720">
      <w:pPr>
        <w:rPr>
          <w:rFonts w:ascii="宋体" w:hAnsi="宋体" w:eastAsia="宋体" w:cs="宋体"/>
          <w:sz w:val="24"/>
          <w:szCs w:val="24"/>
        </w:rPr>
      </w:pPr>
    </w:p>
    <w:p w14:paraId="48EF92DF"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bookmarkStart w:id="0" w:name="_GoBack"/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365115" cy="3800475"/>
            <wp:effectExtent l="0" t="0" r="6985" b="9525"/>
            <wp:docPr id="20" name="图片 1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0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65115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286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swiss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1927907"/>
    <w:multiLevelType w:val="singleLevel"/>
    <w:tmpl w:val="41927907"/>
    <w:lvl w:ilvl="0" w:tentative="0">
      <w:start w:val="7"/>
      <w:numFmt w:val="chineseCounting"/>
      <w:suff w:val="nothing"/>
      <w:lvlText w:val="%1、"/>
      <w:lvlJc w:val="left"/>
      <w:pPr>
        <w:ind w:left="451" w:leftChars="0" w:firstLine="0" w:firstLineChars="0"/>
      </w:pPr>
      <w:rPr>
        <w:rFonts w:hint="eastAsia"/>
      </w:rPr>
    </w:lvl>
  </w:abstractNum>
  <w:abstractNum w:abstractNumId="1">
    <w:nsid w:val="651D040C"/>
    <w:multiLevelType w:val="singleLevel"/>
    <w:tmpl w:val="651D040C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A3ZjM1ZTlhNDJmY2MxZTQxMDEzZjUzYWJjZTRlYWQifQ=="/>
    <w:docVar w:name="KSO_WPS_MARK_KEY" w:val="39309a6f-7486-4f11-9e04-03a80ef9d7ee"/>
  </w:docVars>
  <w:rsids>
    <w:rsidRoot w:val="004561BA"/>
    <w:rsid w:val="001A4533"/>
    <w:rsid w:val="003A4BDD"/>
    <w:rsid w:val="00412E79"/>
    <w:rsid w:val="00443BC2"/>
    <w:rsid w:val="004561BA"/>
    <w:rsid w:val="00527869"/>
    <w:rsid w:val="007F69DA"/>
    <w:rsid w:val="008A0858"/>
    <w:rsid w:val="008D1164"/>
    <w:rsid w:val="009A6D16"/>
    <w:rsid w:val="00A47541"/>
    <w:rsid w:val="00B40EC4"/>
    <w:rsid w:val="00C4331C"/>
    <w:rsid w:val="00C832CF"/>
    <w:rsid w:val="00EC3368"/>
    <w:rsid w:val="00F45A4B"/>
    <w:rsid w:val="00F97731"/>
    <w:rsid w:val="00FA17E7"/>
    <w:rsid w:val="04B87D25"/>
    <w:rsid w:val="05CC4CD5"/>
    <w:rsid w:val="0C753970"/>
    <w:rsid w:val="126B2BAF"/>
    <w:rsid w:val="12812D5F"/>
    <w:rsid w:val="15115C90"/>
    <w:rsid w:val="18982224"/>
    <w:rsid w:val="1A4D5A86"/>
    <w:rsid w:val="1CE422AB"/>
    <w:rsid w:val="23CA2C01"/>
    <w:rsid w:val="267A740D"/>
    <w:rsid w:val="271E410A"/>
    <w:rsid w:val="28F476EE"/>
    <w:rsid w:val="328D7BA4"/>
    <w:rsid w:val="35D00DF7"/>
    <w:rsid w:val="364F7F6E"/>
    <w:rsid w:val="378B76CC"/>
    <w:rsid w:val="37F30DCD"/>
    <w:rsid w:val="3A872C5F"/>
    <w:rsid w:val="3B240FDD"/>
    <w:rsid w:val="3C756255"/>
    <w:rsid w:val="3CC1636A"/>
    <w:rsid w:val="44E937B2"/>
    <w:rsid w:val="4529399A"/>
    <w:rsid w:val="46470C62"/>
    <w:rsid w:val="4A327058"/>
    <w:rsid w:val="50F534AC"/>
    <w:rsid w:val="56A900EA"/>
    <w:rsid w:val="56EE3984"/>
    <w:rsid w:val="574D1E50"/>
    <w:rsid w:val="58E16CF4"/>
    <w:rsid w:val="59501C7C"/>
    <w:rsid w:val="5A720025"/>
    <w:rsid w:val="5C8C6F77"/>
    <w:rsid w:val="5E2E0B81"/>
    <w:rsid w:val="60D522F3"/>
    <w:rsid w:val="64AD2180"/>
    <w:rsid w:val="66A92BD6"/>
    <w:rsid w:val="6B997783"/>
    <w:rsid w:val="6CDD1382"/>
    <w:rsid w:val="6E4764AE"/>
    <w:rsid w:val="704C6CF1"/>
    <w:rsid w:val="706A07FA"/>
    <w:rsid w:val="71E371E1"/>
    <w:rsid w:val="74031EEF"/>
    <w:rsid w:val="74FC3444"/>
    <w:rsid w:val="754B7577"/>
    <w:rsid w:val="794B2FB5"/>
    <w:rsid w:val="7BD77DB7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qFormat="1"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widowControl/>
      <w:spacing w:beforeAutospacing="1" w:afterAutospacing="1"/>
      <w:jc w:val="left"/>
      <w:outlineLvl w:val="0"/>
    </w:pPr>
    <w:rPr>
      <w:rFonts w:hint="eastAsia" w:ascii="宋体" w:hAnsi="宋体" w:eastAsia="宋体" w:cs="Times New Roman"/>
      <w:b/>
      <w:bCs/>
      <w:kern w:val="44"/>
      <w:sz w:val="48"/>
      <w:szCs w:val="48"/>
    </w:rPr>
  </w:style>
  <w:style w:type="paragraph" w:styleId="3">
    <w:name w:val="heading 4"/>
    <w:basedOn w:val="1"/>
    <w:next w:val="1"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character" w:default="1" w:styleId="12">
    <w:name w:val="Default Paragraph Font"/>
    <w:semiHidden/>
    <w:unhideWhenUsed/>
    <w:qFormat/>
    <w:uiPriority w:val="1"/>
  </w:style>
  <w:style w:type="table" w:default="1" w:styleId="1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next w:val="5"/>
    <w:qFormat/>
    <w:uiPriority w:val="0"/>
  </w:style>
  <w:style w:type="paragraph" w:styleId="5">
    <w:name w:val="toc 5"/>
    <w:basedOn w:val="1"/>
    <w:next w:val="1"/>
    <w:qFormat/>
    <w:uiPriority w:val="0"/>
    <w:pPr>
      <w:wordWrap w:val="0"/>
      <w:ind w:left="1275"/>
    </w:pPr>
    <w:rPr>
      <w:rFonts w:ascii="宋体" w:hAnsi="宋体" w:eastAsia="Times New Roman" w:cs="Times New Roman"/>
    </w:rPr>
  </w:style>
  <w:style w:type="paragraph" w:styleId="6">
    <w:name w:val="Balloon Text"/>
    <w:basedOn w:val="1"/>
    <w:link w:val="15"/>
    <w:qFormat/>
    <w:uiPriority w:val="0"/>
    <w:rPr>
      <w:sz w:val="18"/>
      <w:szCs w:val="18"/>
    </w:rPr>
  </w:style>
  <w:style w:type="paragraph" w:styleId="7">
    <w:name w:val="footer"/>
    <w:basedOn w:val="1"/>
    <w:link w:val="17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link w:val="16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Normal (Web)"/>
    <w:basedOn w:val="1"/>
    <w:qFormat/>
    <w:uiPriority w:val="99"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11">
    <w:name w:val="Table Grid"/>
    <w:basedOn w:val="10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3">
    <w:name w:val="Strong"/>
    <w:basedOn w:val="12"/>
    <w:qFormat/>
    <w:uiPriority w:val="22"/>
    <w:rPr>
      <w:b/>
      <w:bCs/>
    </w:rPr>
  </w:style>
  <w:style w:type="character" w:styleId="14">
    <w:name w:val="Hyperlink"/>
    <w:basedOn w:val="12"/>
    <w:qFormat/>
    <w:uiPriority w:val="0"/>
    <w:rPr>
      <w:color w:val="0000FF"/>
      <w:u w:val="single"/>
    </w:rPr>
  </w:style>
  <w:style w:type="character" w:customStyle="1" w:styleId="15">
    <w:name w:val="批注框文本 Char"/>
    <w:basedOn w:val="12"/>
    <w:link w:val="6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6">
    <w:name w:val="页眉 Char"/>
    <w:basedOn w:val="12"/>
    <w:link w:val="8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7">
    <w:name w:val="页脚 Char"/>
    <w:basedOn w:val="12"/>
    <w:link w:val="7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paragraph" w:styleId="18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7</Pages>
  <Words>1700</Words>
  <Characters>1912</Characters>
  <Lines>17</Lines>
  <Paragraphs>5</Paragraphs>
  <TotalTime>6</TotalTime>
  <ScaleCrop>false</ScaleCrop>
  <LinksUpToDate>false</LinksUpToDate>
  <CharactersWithSpaces>1986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2023-10-31T16:14:00Z</dcterms:created>
  <dc:creator>Administrator</dc:creator>
  <cp:lastModifiedBy>Administrator</cp:lastModifiedBy>
  <dcterms:modified xsi:type="dcterms:W3CDTF">2025-06-20T07:24:33Z</dcterms:modified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FB68497C5C3C4CC28BB7DF5E723D3EFF_13</vt:lpwstr>
  </property>
  <property fmtid="{D5CDD505-2E9C-101B-9397-08002B2CF9AE}" pid="4" name="KSOTemplateDocerSaveRecord">
    <vt:lpwstr>eyJoZGlkIjoiNDQ5MjZiOTQzYjU0NjY4N2FhN2UyYzBhM2RkMjg1ZjUifQ==</vt:lpwstr>
  </property>
</Properties>
</file>