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数学</w:t>
      </w:r>
      <w:r>
        <w:rPr>
          <w:rFonts w:hint="eastAsia" w:ascii="宋体" w:hAnsi="宋体" w:eastAsia="宋体" w:cs="宋体"/>
          <w:b w:val="0"/>
          <w:bCs/>
          <w:sz w:val="28"/>
          <w:szCs w:val="28"/>
          <w:lang w:val="en-US" w:eastAsia="zh-CN"/>
        </w:rPr>
        <w:t xml:space="preserve">    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学期   第</w:t>
      </w:r>
      <w:r>
        <w:rPr>
          <w:rFonts w:hint="eastAsia" w:cs="宋体"/>
          <w:b w:val="0"/>
          <w:bCs/>
          <w:sz w:val="28"/>
          <w:szCs w:val="28"/>
          <w:lang w:val="en-US" w:eastAsia="zh-CN"/>
        </w:rPr>
        <w:t>12</w:t>
      </w:r>
      <w:r>
        <w:rPr>
          <w:rFonts w:hint="eastAsia" w:ascii="宋体" w:hAnsi="宋体" w:eastAsia="宋体" w:cs="宋体"/>
          <w:b w:val="0"/>
          <w:bCs/>
          <w:sz w:val="28"/>
          <w:szCs w:val="28"/>
          <w:lang w:val="en-US" w:eastAsia="zh-CN"/>
        </w:rPr>
        <w:t>周</w:t>
      </w:r>
    </w:p>
    <w:tbl>
      <w:tblPr>
        <w:tblStyle w:val="3"/>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2"/>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4</w:t>
            </w:r>
            <w:r>
              <w:rPr>
                <w:rFonts w:hint="eastAsia" w:ascii="_x000B__x000C_" w:hAnsi="_x000B__x000C_"/>
                <w:b/>
                <w:sz w:val="28"/>
                <w:szCs w:val="28"/>
              </w:rPr>
              <w:t>.</w:t>
            </w:r>
            <w:r>
              <w:rPr>
                <w:rFonts w:hint="eastAsia" w:ascii="_x000B__x000C_" w:hAnsi="_x000B__x000C_"/>
                <w:b/>
                <w:sz w:val="28"/>
                <w:szCs w:val="28"/>
                <w:lang w:val="en-US" w:eastAsia="zh-CN"/>
              </w:rPr>
              <w:t>28</w:t>
            </w:r>
          </w:p>
        </w:tc>
        <w:tc>
          <w:tcPr>
            <w:tcW w:w="1267" w:type="dxa"/>
            <w:tcBorders>
              <w:lef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pPr>
              <w:pStyle w:val="2"/>
              <w:ind w:firstLine="588" w:firstLineChars="245"/>
              <w:jc w:val="center"/>
              <w:rPr>
                <w:rFonts w:hint="default" w:eastAsia="宋体"/>
                <w:lang w:val="en-US" w:eastAsia="zh-CN"/>
              </w:rPr>
            </w:pPr>
            <w:r>
              <w:rPr>
                <w:rFonts w:hint="eastAsia" w:eastAsia="宋体"/>
                <w:lang w:val="en-US" w:eastAsia="zh-CN"/>
              </w:rPr>
              <w:t>吴洁</w:t>
            </w:r>
          </w:p>
        </w:tc>
        <w:tc>
          <w:tcPr>
            <w:tcW w:w="1606" w:type="dxa"/>
            <w:tcBorders>
              <w:left w:val="thinThickLargeGap" w:color="auto" w:sz="4" w:space="0"/>
              <w:bottom w:val="thinThickLargeGap" w:color="auto" w:sz="0" w:space="0"/>
              <w:right w:val="single" w:color="auto" w:sz="0"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pPr>
              <w:pStyle w:val="2"/>
              <w:wordWrap w:val="0"/>
              <w:jc w:val="center"/>
              <w:rPr>
                <w:rFonts w:hint="eastAsia" w:ascii="_x000B__x000C_" w:hAnsi="_x000B__x000C_" w:eastAsia="宋体"/>
                <w:b/>
                <w:sz w:val="28"/>
                <w:szCs w:val="28"/>
                <w:lang w:val="en-US" w:eastAsia="zh-CN"/>
              </w:rPr>
            </w:pPr>
            <w:r>
              <w:rPr>
                <w:rFonts w:hint="eastAsia" w:ascii="_x000B__x000C_" w:hAnsi="_x000B__x000C_"/>
                <w:b w:val="0"/>
                <w:bCs/>
                <w:sz w:val="28"/>
                <w:szCs w:val="28"/>
                <w:lang w:val="en-US" w:eastAsia="zh-CN"/>
              </w:rPr>
              <w:t>陈雨晴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pPr>
              <w:pStyle w:val="2"/>
              <w:wordWrap w:val="0"/>
              <w:jc w:val="center"/>
              <w:rPr>
                <w:rFonts w:hint="default" w:ascii="_x000B__x000C_" w:hAnsi="_x000B__x000C_" w:eastAsia="宋体"/>
                <w:b/>
                <w:sz w:val="28"/>
                <w:szCs w:val="28"/>
                <w:lang w:val="en-US" w:eastAsia="zh-CN"/>
              </w:rPr>
            </w:pPr>
            <w:r>
              <w:rPr>
                <w:rFonts w:hint="eastAsia" w:ascii="_x000B__x000C_" w:hAnsi="_x000B__x000C_"/>
                <w:b w:val="0"/>
                <w:bCs/>
                <w:sz w:val="28"/>
                <w:szCs w:val="28"/>
                <w:lang w:val="en-US" w:eastAsia="zh-CN"/>
              </w:rPr>
              <w:t>殷晓波、陈雨晴、秦珂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21" w:type="dxa"/>
            <w:tcBorders>
              <w:right w:val="inset" w:color="auto" w:sz="6" w:space="0"/>
            </w:tcBorders>
            <w:noWrap w:val="0"/>
            <w:vAlign w:val="top"/>
          </w:tcPr>
          <w:p>
            <w:pPr>
              <w:pStyle w:val="2"/>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两位数加两位数的口算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jc w:val="center"/>
        </w:trPr>
        <w:tc>
          <w:tcPr>
            <w:tcW w:w="1421" w:type="dxa"/>
            <w:tcBorders>
              <w:right w:val="inset" w:color="auto" w:sz="6" w:space="0"/>
            </w:tcBorders>
            <w:noWrap w:val="0"/>
            <w:vAlign w:val="top"/>
          </w:tcPr>
          <w:p>
            <w:pPr>
              <w:pStyle w:val="2"/>
              <w:wordWrap w:val="0"/>
              <w:jc w:val="center"/>
              <w:rPr>
                <w:rFonts w:hint="eastAsia" w:ascii="_x000B__x000C_" w:hAnsi="_x000B__x000C_"/>
                <w:b/>
                <w:sz w:val="28"/>
                <w:szCs w:val="28"/>
              </w:rPr>
            </w:pPr>
          </w:p>
          <w:p>
            <w:pPr>
              <w:pStyle w:val="2"/>
              <w:wordWrap w:val="0"/>
              <w:jc w:val="center"/>
              <w:rPr>
                <w:rFonts w:hint="eastAsia" w:ascii="_x000B__x000C_" w:hAnsi="_x000B__x000C_"/>
                <w:b/>
                <w:sz w:val="28"/>
                <w:szCs w:val="28"/>
              </w:rPr>
            </w:pPr>
            <w:r>
              <w:rPr>
                <w:rFonts w:hint="eastAsia" w:ascii="_x000B__x000C_" w:hAnsi="_x000B__x000C_"/>
                <w:b/>
                <w:sz w:val="28"/>
                <w:szCs w:val="28"/>
              </w:rPr>
              <w:t>过</w:t>
            </w:r>
          </w:p>
          <w:p>
            <w:pPr>
              <w:pStyle w:val="2"/>
              <w:wordWrap w:val="0"/>
              <w:rPr>
                <w:rFonts w:hint="eastAsia" w:ascii="_x000B__x000C_" w:hAnsi="_x000B__x000C_"/>
                <w:b/>
                <w:sz w:val="28"/>
                <w:szCs w:val="28"/>
              </w:rPr>
            </w:pPr>
          </w:p>
          <w:p>
            <w:pPr>
              <w:pStyle w:val="2"/>
              <w:wordWrap w:val="0"/>
              <w:jc w:val="center"/>
              <w:rPr>
                <w:rFonts w:hint="eastAsia" w:ascii="_x000B__x000C_" w:hAnsi="_x000B__x000C_"/>
                <w:b/>
                <w:sz w:val="28"/>
                <w:szCs w:val="28"/>
              </w:rPr>
            </w:pPr>
            <w:r>
              <w:rPr>
                <w:rFonts w:hint="eastAsia" w:ascii="_x000B__x000C_" w:hAnsi="_x000B__x000C_"/>
                <w:b/>
                <w:sz w:val="28"/>
                <w:szCs w:val="28"/>
              </w:rPr>
              <w:t>程</w:t>
            </w:r>
          </w:p>
          <w:p>
            <w:pPr>
              <w:pStyle w:val="2"/>
              <w:wordWrap w:val="0"/>
              <w:rPr>
                <w:rFonts w:hint="eastAsia" w:ascii="_x000B__x000C_" w:hAnsi="_x000B__x000C_"/>
                <w:b/>
                <w:sz w:val="28"/>
                <w:szCs w:val="28"/>
              </w:rPr>
            </w:pPr>
          </w:p>
          <w:p>
            <w:pPr>
              <w:pStyle w:val="2"/>
              <w:wordWrap w:val="0"/>
              <w:jc w:val="center"/>
              <w:rPr>
                <w:rFonts w:hint="eastAsia" w:ascii="_x000B__x000C_" w:hAnsi="_x000B__x000C_"/>
                <w:b/>
                <w:sz w:val="28"/>
                <w:szCs w:val="28"/>
              </w:rPr>
            </w:pPr>
            <w:r>
              <w:rPr>
                <w:rFonts w:hint="eastAsia" w:ascii="_x000B__x000C_" w:hAnsi="_x000B__x000C_"/>
                <w:b/>
                <w:sz w:val="28"/>
                <w:szCs w:val="28"/>
              </w:rPr>
              <w:t>记</w:t>
            </w:r>
          </w:p>
          <w:p>
            <w:pPr>
              <w:pStyle w:val="2"/>
              <w:wordWrap w:val="0"/>
              <w:rPr>
                <w:rFonts w:hint="eastAsia" w:ascii="_x000B__x000C_" w:hAnsi="_x000B__x000C_"/>
                <w:b/>
                <w:sz w:val="28"/>
                <w:szCs w:val="28"/>
              </w:rPr>
            </w:pPr>
          </w:p>
          <w:p>
            <w:pPr>
              <w:pStyle w:val="2"/>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pPr>
              <w:spacing w:line="400" w:lineRule="exact"/>
              <w:rPr>
                <w:rFonts w:hint="eastAsia"/>
                <w:b w:val="0"/>
                <w:bCs/>
                <w:sz w:val="28"/>
                <w:szCs w:val="28"/>
                <w:lang w:val="en-US" w:eastAsia="zh-CN"/>
              </w:rPr>
            </w:pPr>
            <w:r>
              <w:rPr>
                <w:rFonts w:hint="eastAsia"/>
                <w:b w:val="0"/>
                <w:bCs/>
                <w:sz w:val="28"/>
                <w:szCs w:val="28"/>
                <w:lang w:val="en-US" w:eastAsia="zh-CN"/>
              </w:rPr>
              <w:t>主讲人：本单元主要以计算为主，在已有经验的基础上如何能让学生更好地学习是我们本次主要来探讨的内容。我认为在教学中创设学生熟悉的情境，让学生感受到生活中处处有数学至关重要。根据学生的年龄特征、认知规律和生活实际，选取学生最感兴趣的，贴近生活的内容，创设参观博物馆这样一个情境。</w:t>
            </w:r>
            <w:r>
              <w:rPr>
                <w:rFonts w:hint="eastAsia"/>
                <w:b w:val="0"/>
                <w:bCs/>
                <w:sz w:val="28"/>
                <w:szCs w:val="28"/>
                <w:lang w:val="en-US" w:eastAsia="zh-CN"/>
              </w:rPr>
              <w:br w:type="textWrapping"/>
            </w:r>
            <w:r>
              <w:rPr>
                <w:rFonts w:hint="eastAsia"/>
                <w:b w:val="0"/>
                <w:bCs/>
                <w:sz w:val="28"/>
                <w:szCs w:val="28"/>
                <w:lang w:val="en-US" w:eastAsia="zh-CN"/>
              </w:rPr>
              <w:t>殷晓波：在教学中我们应该引导学生动手操作、自主探兖和合作交流。在学生学习新知过程中，学生自主选择喜欢的进行操作，在小组内进行交流，验证14+28结果到底是三十多，还是四十多。然后让学生动脑想一想。动手摆一摆，动口说一说，切实感悟小棒满十捆成一捆，木块满十排成一排是我们教学的基础</w:t>
            </w:r>
          </w:p>
          <w:p>
            <w:pPr>
              <w:spacing w:line="400" w:lineRule="exact"/>
              <w:rPr>
                <w:rFonts w:hint="eastAsia"/>
                <w:b w:val="0"/>
                <w:bCs/>
                <w:sz w:val="28"/>
                <w:szCs w:val="28"/>
                <w:lang w:val="en-US" w:eastAsia="zh-CN"/>
              </w:rPr>
            </w:pPr>
            <w:r>
              <w:rPr>
                <w:rFonts w:hint="eastAsia"/>
                <w:b w:val="0"/>
                <w:bCs/>
                <w:sz w:val="28"/>
                <w:szCs w:val="28"/>
                <w:lang w:val="en-US" w:eastAsia="zh-CN"/>
              </w:rPr>
              <w:t>秦珂：为了让学生更好的掌握进位加法，在教学中我们可以组织学生讨论:是先从个位加起比较方便，还是先从十位加起比较方便？通过讨论交流以及已有经验的影响，班内大部分学生会明确选择先从个位加起，因为学生从比较中能明显感受到从个位加起的优越性是不会把个位进的1漏加。</w:t>
            </w:r>
          </w:p>
          <w:p>
            <w:pPr>
              <w:spacing w:line="400" w:lineRule="exact"/>
              <w:rPr>
                <w:rFonts w:hint="eastAsia"/>
                <w:b w:val="0"/>
                <w:bCs/>
                <w:sz w:val="28"/>
                <w:szCs w:val="28"/>
                <w:lang w:val="en-US" w:eastAsia="zh-CN"/>
              </w:rPr>
            </w:pPr>
            <w:r>
              <w:rPr>
                <w:rFonts w:hint="eastAsia"/>
                <w:b w:val="0"/>
                <w:bCs/>
                <w:sz w:val="28"/>
                <w:szCs w:val="28"/>
                <w:lang w:val="en-US" w:eastAsia="zh-CN"/>
              </w:rPr>
              <w:t>陈雨晴：我认为，学生能迅速、正确的计算结果，他们的方法我都予以尊重。因为从与他们的对话中可以明显感受到他们也认同从个位加起，相信只要有合适的时机，他们也会主动接受的。</w:t>
            </w:r>
          </w:p>
          <w:p>
            <w:pPr>
              <w:spacing w:line="400" w:lineRule="exact"/>
              <w:rPr>
                <w:rFonts w:hint="default"/>
                <w:b w:val="0"/>
                <w:bCs/>
                <w:sz w:val="28"/>
                <w:szCs w:val="28"/>
                <w:lang w:val="en-US" w:eastAsia="zh-CN"/>
              </w:rPr>
            </w:pPr>
          </w:p>
          <w:p>
            <w:pPr>
              <w:spacing w:line="400" w:lineRule="exact"/>
              <w:rPr>
                <w:rFonts w:hint="eastAsia"/>
                <w:b/>
                <w:bCs w:val="0"/>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A00002BF" w:usb1="78CF7CFB" w:usb2="00000016" w:usb3="00000000" w:csb0="600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000000"/>
    <w:rsid w:val="39CE091B"/>
    <w:rsid w:val="682A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2025-04-07T05:48:10Z</dcterms:created>
  <dc:creator>Dell</dc:creator>
  <cp:lastModifiedBy>爱笑的晴天</cp:lastModifiedBy>
  <dcterms:modified xsi:type="dcterms:W3CDTF">2025-04-07T05:55:00Z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D8B40AB29BCF45288086F51BDC944FC5_12</vt:lpwstr>
  </property>
</Properties>
</file>