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190DF">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32"/>
          <w:szCs w:val="32"/>
        </w:rPr>
        <w:t>礼河实验学校教师读书笔记</w:t>
      </w:r>
    </w:p>
    <w:tbl>
      <w:tblPr>
        <w:tblStyle w:val="2"/>
        <w:tblW w:w="8502" w:type="dxa"/>
        <w:jc w:val="center"/>
        <w:tblLayout w:type="autofit"/>
        <w:tblCellMar>
          <w:top w:w="0" w:type="dxa"/>
          <w:left w:w="0" w:type="dxa"/>
          <w:bottom w:w="0" w:type="dxa"/>
          <w:right w:w="0" w:type="dxa"/>
        </w:tblCellMar>
      </w:tblPr>
      <w:tblGrid>
        <w:gridCol w:w="1896"/>
        <w:gridCol w:w="2276"/>
        <w:gridCol w:w="2280"/>
        <w:gridCol w:w="2050"/>
      </w:tblGrid>
      <w:tr w14:paraId="4573CA5E">
        <w:tblPrEx>
          <w:tblCellMar>
            <w:top w:w="0" w:type="dxa"/>
            <w:left w:w="0" w:type="dxa"/>
            <w:bottom w:w="0" w:type="dxa"/>
            <w:right w:w="0" w:type="dxa"/>
          </w:tblCellMar>
        </w:tblPrEx>
        <w:trPr>
          <w:trHeight w:val="495" w:hRule="atLeast"/>
          <w:jc w:val="center"/>
        </w:trPr>
        <w:tc>
          <w:tcPr>
            <w:tcW w:w="189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448609">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24"/>
              </w:rPr>
              <w:t>书籍或文章名称</w:t>
            </w:r>
          </w:p>
        </w:tc>
        <w:tc>
          <w:tcPr>
            <w:tcW w:w="6606"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top"/>
          </w:tcPr>
          <w:p w14:paraId="5E0C18A0">
            <w:pPr>
              <w:widowControl/>
              <w:spacing w:before="100" w:beforeAutospacing="1" w:after="100" w:afterAutospacing="1" w:line="500" w:lineRule="atLeast"/>
              <w:jc w:val="left"/>
              <w:rPr>
                <w:rFonts w:ascii="宋体" w:hAnsi="宋体" w:cs="宋体"/>
                <w:color w:val="000000"/>
                <w:kern w:val="0"/>
                <w:sz w:val="18"/>
                <w:szCs w:val="18"/>
              </w:rPr>
            </w:pPr>
            <w:r>
              <w:rPr>
                <w:rFonts w:hint="eastAsia" w:ascii="宋体" w:hAnsi="宋体" w:cs="宋体"/>
                <w:color w:val="000000"/>
                <w:kern w:val="0"/>
                <w:sz w:val="24"/>
              </w:rPr>
              <w:t> 《儿童的人格教育》</w:t>
            </w:r>
          </w:p>
        </w:tc>
      </w:tr>
      <w:tr w14:paraId="44A2BB91">
        <w:tblPrEx>
          <w:tblCellMar>
            <w:top w:w="0" w:type="dxa"/>
            <w:left w:w="0" w:type="dxa"/>
            <w:bottom w:w="0" w:type="dxa"/>
            <w:right w:w="0" w:type="dxa"/>
          </w:tblCellMar>
        </w:tblPrEx>
        <w:trPr>
          <w:trHeight w:val="495" w:hRule="atLeast"/>
          <w:jc w:val="center"/>
        </w:trPr>
        <w:tc>
          <w:tcPr>
            <w:tcW w:w="18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141A44">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24"/>
              </w:rPr>
              <w:t>作      者</w:t>
            </w:r>
          </w:p>
        </w:tc>
        <w:tc>
          <w:tcPr>
            <w:tcW w:w="2276"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5B0A8572">
            <w:pPr>
              <w:widowControl/>
              <w:spacing w:before="100" w:beforeAutospacing="1" w:after="100" w:afterAutospacing="1" w:line="500" w:lineRule="atLeast"/>
              <w:jc w:val="left"/>
              <w:rPr>
                <w:rFonts w:ascii="宋体" w:hAnsi="宋体" w:cs="宋体"/>
                <w:color w:val="000000"/>
                <w:kern w:val="0"/>
                <w:sz w:val="18"/>
                <w:szCs w:val="18"/>
              </w:rPr>
            </w:pPr>
            <w:r>
              <w:rPr>
                <w:rFonts w:hint="eastAsia" w:ascii="宋体" w:hAnsi="宋体" w:cs="宋体"/>
                <w:color w:val="000000"/>
                <w:kern w:val="0"/>
                <w:sz w:val="24"/>
              </w:rPr>
              <w:t>阿尔弗雷德▪阿德勒</w:t>
            </w:r>
          </w:p>
        </w:tc>
        <w:tc>
          <w:tcPr>
            <w:tcW w:w="228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728EF821">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24"/>
              </w:rPr>
              <w:t>阅 读 时 间</w:t>
            </w:r>
          </w:p>
        </w:tc>
        <w:tc>
          <w:tcPr>
            <w:tcW w:w="205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255AF3A0">
            <w:pPr>
              <w:widowControl/>
              <w:spacing w:before="100" w:beforeAutospacing="1" w:after="100" w:afterAutospacing="1" w:line="500" w:lineRule="atLeast"/>
              <w:rPr>
                <w:rFonts w:hint="eastAsia" w:ascii="宋体" w:hAnsi="宋体" w:eastAsia="宋体" w:cs="宋体"/>
                <w:color w:val="000000"/>
                <w:kern w:val="0"/>
                <w:sz w:val="24"/>
                <w:lang w:eastAsia="zh-CN"/>
              </w:rPr>
            </w:pPr>
            <w:r>
              <w:rPr>
                <w:rFonts w:hint="eastAsia" w:ascii="宋体" w:hAnsi="宋体" w:cs="宋体"/>
                <w:color w:val="000000"/>
                <w:kern w:val="0"/>
                <w:sz w:val="24"/>
              </w:rPr>
              <w:t>2025.</w:t>
            </w:r>
            <w:r>
              <w:rPr>
                <w:rFonts w:hint="eastAsia" w:ascii="宋体" w:hAnsi="宋体" w:cs="宋体"/>
                <w:color w:val="000000"/>
                <w:kern w:val="0"/>
                <w:sz w:val="24"/>
                <w:lang w:val="en-US" w:eastAsia="zh-CN"/>
              </w:rPr>
              <w:t>6</w:t>
            </w:r>
          </w:p>
        </w:tc>
      </w:tr>
      <w:tr w14:paraId="624B8A13">
        <w:tblPrEx>
          <w:tblCellMar>
            <w:top w:w="0" w:type="dxa"/>
            <w:left w:w="0" w:type="dxa"/>
            <w:bottom w:w="0" w:type="dxa"/>
            <w:right w:w="0" w:type="dxa"/>
          </w:tblCellMar>
        </w:tblPrEx>
        <w:trPr>
          <w:trHeight w:val="495" w:hRule="atLeast"/>
          <w:jc w:val="center"/>
        </w:trPr>
        <w:tc>
          <w:tcPr>
            <w:tcW w:w="18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3270AC">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24"/>
              </w:rPr>
              <w:t>教 师 姓 名</w:t>
            </w:r>
          </w:p>
        </w:tc>
        <w:tc>
          <w:tcPr>
            <w:tcW w:w="2276"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4504568F">
            <w:pPr>
              <w:widowControl/>
              <w:spacing w:before="100" w:beforeAutospacing="1" w:after="100" w:afterAutospacing="1" w:line="500" w:lineRule="atLeas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姜舒艳</w:t>
            </w:r>
          </w:p>
        </w:tc>
        <w:tc>
          <w:tcPr>
            <w:tcW w:w="228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4892A851">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24"/>
              </w:rPr>
              <w:t>年 段、学 科</w:t>
            </w:r>
          </w:p>
        </w:tc>
        <w:tc>
          <w:tcPr>
            <w:tcW w:w="205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450961EC">
            <w:pPr>
              <w:widowControl/>
              <w:spacing w:before="100" w:beforeAutospacing="1" w:after="100" w:afterAutospacing="1" w:line="500" w:lineRule="atLeas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八年级语文</w:t>
            </w:r>
          </w:p>
        </w:tc>
      </w:tr>
      <w:tr w14:paraId="7363029F">
        <w:tblPrEx>
          <w:tblCellMar>
            <w:top w:w="0" w:type="dxa"/>
            <w:left w:w="0" w:type="dxa"/>
            <w:bottom w:w="0" w:type="dxa"/>
            <w:right w:w="0" w:type="dxa"/>
          </w:tblCellMar>
        </w:tblPrEx>
        <w:trPr>
          <w:trHeight w:val="495" w:hRule="atLeast"/>
          <w:jc w:val="center"/>
        </w:trPr>
        <w:tc>
          <w:tcPr>
            <w:tcW w:w="8502" w:type="dxa"/>
            <w:gridSpan w:val="4"/>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660C7A">
            <w:pPr>
              <w:rPr>
                <w:rFonts w:hint="eastAsia"/>
                <w:sz w:val="28"/>
                <w:szCs w:val="28"/>
              </w:rPr>
            </w:pPr>
            <w:r>
              <w:rPr>
                <w:rFonts w:hint="eastAsia" w:ascii="宋体" w:hAnsi="宋体" w:cs="宋体"/>
                <w:color w:val="000000"/>
                <w:kern w:val="0"/>
                <w:sz w:val="24"/>
              </w:rPr>
              <w:t>精彩摘录：</w:t>
            </w:r>
            <w:r>
              <w:rPr>
                <w:sz w:val="28"/>
                <w:szCs w:val="28"/>
              </w:rPr>
              <w:t xml:space="preserve"> </w:t>
            </w:r>
          </w:p>
          <w:p w14:paraId="2B7167F0">
            <w:pPr>
              <w:spacing w:line="360" w:lineRule="auto"/>
              <w:ind w:firstLine="480" w:firstLineChars="200"/>
              <w:rPr>
                <w:rFonts w:hint="eastAsia"/>
                <w:sz w:val="24"/>
              </w:rPr>
            </w:pPr>
            <w:bookmarkStart w:id="0" w:name="_GoBack"/>
            <w:bookmarkEnd w:id="0"/>
            <w:r>
              <w:rPr>
                <w:rFonts w:hint="eastAsia"/>
                <w:sz w:val="24"/>
              </w:rPr>
              <w:t>追求优越感与自卑感密切相关：如果我们不感到自卑，就不会有改变现状的愿望。追求优越感和自卑感是同一个心理现象的两个方面。人性与追求优越感密切相关。追求优越感也是人格心理发展的源泉。儿童和成人在任何情况下都有强烈的无法消除的想要表现自我的冲动。儿童向上的愿望越强烈，他们制定的目标就越高，并以此来证明自己的力量，但这些正面往往超越人的能力范围。观察一个孩子对优越感的渴望，我们可以见证他全部的野心。</w:t>
            </w:r>
          </w:p>
        </w:tc>
      </w:tr>
      <w:tr w14:paraId="4C6FF769">
        <w:tblPrEx>
          <w:tblCellMar>
            <w:top w:w="0" w:type="dxa"/>
            <w:left w:w="0" w:type="dxa"/>
            <w:bottom w:w="0" w:type="dxa"/>
            <w:right w:w="0" w:type="dxa"/>
          </w:tblCellMar>
        </w:tblPrEx>
        <w:trPr>
          <w:trHeight w:val="7489" w:hRule="atLeast"/>
          <w:jc w:val="center"/>
        </w:trPr>
        <w:tc>
          <w:tcPr>
            <w:tcW w:w="8502" w:type="dxa"/>
            <w:gridSpan w:val="4"/>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3F13D88C">
            <w:pPr>
              <w:rPr>
                <w:rFonts w:hint="eastAsia" w:ascii="宋体" w:hAnsi="宋体" w:cs="宋体"/>
                <w:color w:val="000000"/>
                <w:kern w:val="0"/>
                <w:sz w:val="24"/>
              </w:rPr>
            </w:pPr>
            <w:r>
              <w:rPr>
                <w:rFonts w:hint="eastAsia" w:ascii="宋体" w:hAnsi="宋体" w:cs="宋体"/>
                <w:color w:val="000000"/>
                <w:kern w:val="0"/>
                <w:sz w:val="24"/>
              </w:rPr>
              <w:t>读书感悟：</w:t>
            </w:r>
          </w:p>
          <w:p w14:paraId="1930E634">
            <w:pPr>
              <w:spacing w:line="360" w:lineRule="auto"/>
              <w:ind w:left="0" w:leftChars="0" w:firstLine="480" w:firstLineChars="200"/>
              <w:rPr>
                <w:sz w:val="24"/>
              </w:rPr>
            </w:pPr>
            <w:r>
              <w:rPr>
                <w:rFonts w:ascii="宋体" w:hAnsi="宋体" w:eastAsia="宋体" w:cs="宋体"/>
                <w:sz w:val="24"/>
                <w:szCs w:val="24"/>
              </w:rPr>
              <w:t>社会情感是儿童人格发展的重要组成部分，它包括孩子对他人的关心、理解、合作以及对社会规则的遵守等。阿德勒强调，培养孩子的社会情感对于他们的人格健全和未来的社会适应能力至关重要。一个具有良好社会情感的孩子，能够与他人建立和谐的关系，在团队中发挥积极的作用，并且能够更好地适应社会的变化和挑战。</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在家庭和学校教育中，我们应该为孩子创造更多与他人交往的机会，鼓励他们参与集体活动，学会分享和合作。例如，组织家庭聚会，让孩子与亲戚朋友的孩子一起玩耍，在这个过程中，他们可以学会如何与同伴相处，如何解决矛盾和冲突。在学校里，可以开展小组合作学习、社团活动等，让孩子在实践中锻炼自己的社会情感能力。同时，我们教育者也要以身作则，用自己的言行向孩子传递关爱、尊重和合作的价值观，为孩子树立良好的榜样。</w:t>
            </w:r>
          </w:p>
        </w:tc>
      </w:tr>
    </w:tbl>
    <w:p w14:paraId="7030DF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50013"/>
    <w:rsid w:val="141A05A1"/>
    <w:rsid w:val="4B3A21FD"/>
    <w:rsid w:val="603F2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622</Words>
  <Characters>628</Characters>
  <Lines>0</Lines>
  <Paragraphs>0</Paragraphs>
  <TotalTime>1</TotalTime>
  <ScaleCrop>false</ScaleCrop>
  <LinksUpToDate>false</LinksUpToDate>
  <CharactersWithSpaces>648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2025-05-30T05:03:00Z</dcterms:created>
  <dc:creator>Administrator</dc:creator>
  <cp:lastModifiedBy>jsy</cp:lastModifiedBy>
  <dcterms:modified xsi:type="dcterms:W3CDTF">2025-06-05T06:23:16Z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eyJoZGlkIjoiYTcwMjlkZTRjYjM1NzBhNzU5OGNhZmQ0ZmM5ZjBlZDQifQ==</vt:lpwstr>
  </property>
  <property fmtid="{D5CDD505-2E9C-101B-9397-08002B2CF9AE}" pid="4" name="ICV">
    <vt:lpwstr>54095B1E45394630AEA05B442CB905EC_12</vt:lpwstr>
  </property>
</Properties>
</file>