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CF988A1">
        <w:trPr>
          <w:cantSplit/>
          <w:trHeight w:val="23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能干的手（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孩子们制作的作品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孩子们将制作过程中遇到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其中，45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的幼儿在进行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蝴蝶制作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的时候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需要一些技能的支持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森系小制作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缺少一些材料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需要进一步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准备并完善作品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本周我们将继续围绕“能干的手”开展活动，根据幼儿的制作情况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进一步完善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初步尝试布置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C47788">
        <w:trPr>
          <w:cantSplit/>
          <w:trHeight w:val="1211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EDAF3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0B4957A9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FB9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</w:t>
            </w:r>
          </w:p>
        </w:tc>
      </w:tr>
      <w:tr w14:paraId="6BD61E9A">
        <w:trPr>
          <w:cantSplit/>
          <w:trHeight w:val="146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1.创设“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各种关于“破茧成蝶 ”想象的支架环境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67C55F5F">
        <w:trPr>
          <w:cantSplit/>
          <w:trHeight w:val="62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508772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1D78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40E340E6">
        <w:trPr>
          <w:cantSplit/>
          <w:trHeight w:val="31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FC7FC4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1. 建构区：雪花片建构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奖杯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蝴蝶，</w:t>
            </w:r>
            <w:r>
              <w:rPr>
                <w:rFonts w:hint="eastAsia"/>
              </w:rPr>
              <w:t>积木建构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自然植物园</w:t>
            </w:r>
            <w:r>
              <w:rPr>
                <w:rFonts w:hint="eastAsia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汉字拼拼乐、故事盒子</w:t>
            </w:r>
            <w:r>
              <w:rPr>
                <w:rFonts w:hint="eastAsia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制作我的毕业作品、《破茧成蝶》、绘画《捕梦网》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szCs w:val="21"/>
                <w:lang w:val="en-US" w:eastAsia="zh-CN"/>
              </w:rPr>
              <w:t>集花花、蝴蝶对对碰、时钟迷宫</w:t>
            </w:r>
            <w:r>
              <w:rPr>
                <w:rFonts w:hint="eastAsia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</w:t>
            </w:r>
            <w:r>
              <w:rPr>
                <w:rFonts w:hint="eastAsia"/>
                <w:szCs w:val="21"/>
                <w:lang w:val="en-US" w:eastAsia="zh-CN"/>
              </w:rPr>
              <w:t>旋转木马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花车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海盗船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水龙卷、</w:t>
            </w:r>
            <w:r>
              <w:rPr>
                <w:rFonts w:hint="eastAsia"/>
                <w:szCs w:val="21"/>
                <w:lang w:val="en-US" w:eastAsia="zh-CN"/>
              </w:rPr>
              <w:t>脱水器、自动浇花器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631D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szCs w:val="21"/>
              </w:rPr>
              <w:t>老师重点关注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幼儿搭建作品的情况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及作品是否能够与球互动的情况</w:t>
            </w:r>
            <w:r>
              <w:rPr>
                <w:rFonts w:hint="eastAsia" w:ascii="宋体" w:hAnsi="宋体" w:cs="宋体"/>
                <w:szCs w:val="21"/>
              </w:rPr>
              <w:t>，通过观察记录、拍照、视频、今日动态等形式关注幼儿在游戏中的情况。</w:t>
            </w:r>
          </w:p>
          <w:p w14:paraId="0DE3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szCs w:val="21"/>
              </w:rPr>
              <w:t>老师重点关注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自然材料</w:t>
            </w:r>
            <w:r>
              <w:rPr>
                <w:rFonts w:hint="eastAsia" w:ascii="宋体" w:hAnsi="宋体" w:cs="宋体"/>
                <w:szCs w:val="21"/>
              </w:rPr>
              <w:t>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幼儿与材料的互动情况</w:t>
            </w:r>
            <w:r>
              <w:rPr>
                <w:rFonts w:hint="eastAsia" w:ascii="宋体" w:hAnsi="宋体" w:cs="宋体"/>
                <w:szCs w:val="21"/>
              </w:rPr>
              <w:t>，主要通过视频、照片等形式关注幼儿在游戏中的情况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7465BA7C">
        <w:trPr>
          <w:cantSplit/>
          <w:trHeight w:val="63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C8CDB7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F81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跑道区、小木屋、吊杠区、小车区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3F27A2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eastAsia="宋体" w:cs="Times New Roman"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894718A">
        <w:trPr>
          <w:cantSplit/>
          <w:trHeight w:val="6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1F145AB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1.社会：手之语 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数学：10的加减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3.实践：毕业照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综合：第二次制作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5.科学：勺子里的哈哈镜</w:t>
            </w:r>
          </w:p>
        </w:tc>
      </w:tr>
      <w:tr w14:paraId="15FF05F2">
        <w:trPr>
          <w:cantSplit/>
          <w:trHeight w:val="68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83F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音乐：拉拉勾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语言：烟斗萨克斯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3.实践：毕业照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4.美术：小手变形         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语言：手指谣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 w14:paraId="31F5AD55">
        <w:trPr>
          <w:cantSplit/>
          <w:trHeight w:val="182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空气炮弹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会动的蜘蛛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：动力小船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绑番茄架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双子楼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建构平衡城市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影子的秘密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朱晔、王瑛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朱晔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76479"/>
    <w:multiLevelType w:val="singleLevel"/>
    <w:tmpl w:val="D3F764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A126F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E9EDFF3B"/>
    <w:rsid w:val="FFFF2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1175</Characters>
  <Lines>10</Lines>
  <Paragraphs>2</Paragraphs>
  <TotalTime>5</TotalTime>
  <ScaleCrop>false</ScaleCrop>
  <LinksUpToDate>false</LinksUpToDate>
  <CharactersWithSpaces>1322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讨厌</cp:lastModifiedBy>
  <cp:lastPrinted>2025-05-06T07:55:00Z</cp:lastPrinted>
  <dcterms:modified xsi:type="dcterms:W3CDTF">2025-05-11T13:27:57Z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CC4C19BAED36528D583520681FF4137D_43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