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周  琴</w:t>
            </w:r>
          </w:p>
        </w:tc>
        <w:tc>
          <w:tcPr>
            <w:tcW w:w="1620"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Hans"/>
              </w:rPr>
            </w:pPr>
            <w:r>
              <w:rPr>
                <w:rFonts w:hint="eastAsia" w:ascii="宋体" w:hAnsi="宋体"/>
                <w:b/>
                <w:bCs/>
                <w:szCs w:val="21"/>
                <w:lang w:val="en-US" w:eastAsia="zh-CN"/>
              </w:rPr>
              <w:t>《课堂观察：走向专业的听评课》---范式创新  沈毅 崔允漷</w:t>
            </w:r>
          </w:p>
        </w:tc>
        <w:tc>
          <w:tcPr>
            <w:tcW w:w="1559"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pPr>
              <w:pStyle w:val="2"/>
              <w:numPr>
                <w:ilvl w:val="0"/>
                <w:numId w:val="0"/>
              </w:numPr>
              <w:spacing w:line="480" w:lineRule="auto"/>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1.课堂观察框架。</w:t>
            </w:r>
          </w:p>
          <w:p>
            <w:pPr>
              <w:pStyle w:val="2"/>
              <w:numPr>
                <w:ilvl w:val="0"/>
                <w:numId w:val="0"/>
              </w:numPr>
              <w:spacing w:line="48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课堂观察框架一共进行了三次修订。到第三次集中修订观察点，（1）观察点的设置。剔除了课堂中难以观察的观察点或已不是课堂主要问题的观察点，增加了对新课程实施和学生发展影响重大的观察点，以期引导课堂教/学的变革。（2）观察点的选择。剔除了追问教/学效果的观察点，保留能被观察的行为和现象的观察点。（3）观察点的表述。“4个维度，20个视角，68个观察点。”</w:t>
            </w:r>
          </w:p>
          <w:p>
            <w:pPr>
              <w:pStyle w:val="2"/>
              <w:numPr>
                <w:ilvl w:val="0"/>
                <w:numId w:val="0"/>
              </w:numPr>
              <w:spacing w:line="480" w:lineRule="auto"/>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2.课堂观察工具</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4"/>
                <w:szCs w:val="24"/>
              </w:rPr>
            </w:pPr>
            <w:bookmarkStart w:id="0" w:name="_GoBack"/>
            <w:bookmarkEnd w:id="0"/>
            <w:r>
              <w:rPr>
                <w:rFonts w:hint="default" w:ascii="宋体" w:hAnsi="宋体" w:cs="宋体"/>
                <w:b w:val="0"/>
                <w:bCs w:val="0"/>
                <w:sz w:val="28"/>
                <w:szCs w:val="28"/>
                <w:lang w:val="en-US" w:eastAsia="zh-CN"/>
              </w:rPr>
              <w:t>学生学习维度6张量表，教师教学维度7张量表，课程性质维度4张量表，课堂文化维度4张量表。每份量表包含观察点名称，量表设计员，观察维度，研究问题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8784"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b/>
                <w:bCs/>
              </w:rPr>
            </w:pPr>
            <w:r>
              <w:rPr>
                <w:rFonts w:hint="eastAsia" w:ascii="Times New Roman" w:hAnsi="Times New Roman"/>
                <w:b/>
                <w:bCs/>
                <w:sz w:val="24"/>
                <w:szCs w:val="24"/>
              </w:rPr>
              <w:t>学习心得：</w:t>
            </w:r>
            <w:r>
              <w:rPr>
                <w:rFonts w:ascii="Times New Roman" w:hAnsi="Times New Roman"/>
                <w:b/>
                <w:bCs/>
                <w:sz w:val="28"/>
                <w:szCs w:val="28"/>
              </w:rPr>
              <w:t xml:space="preserve"> </w:t>
            </w:r>
            <w:r>
              <w:rPr>
                <w:rFonts w:ascii="Times New Roman" w:hAnsi="Times New Roman"/>
                <w:b/>
                <w:bCs/>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sz w:val="24"/>
                <w:szCs w:val="24"/>
                <w:lang w:val="en-US" w:eastAsia="zh-Hans"/>
              </w:rPr>
            </w:pPr>
          </w:p>
          <w:p>
            <w:pPr>
              <w:ind w:firstLine="420" w:firstLineChars="150"/>
              <w:rPr>
                <w:rFonts w:hint="eastAsia"/>
                <w:bCs/>
              </w:rPr>
            </w:pPr>
            <w:r>
              <w:rPr>
                <w:rFonts w:hint="eastAsia" w:ascii="宋体" w:hAnsi="宋体" w:cs="宋体"/>
                <w:b w:val="0"/>
                <w:bCs w:val="0"/>
                <w:sz w:val="28"/>
                <w:szCs w:val="28"/>
                <w:lang w:val="en-US" w:eastAsia="zh-CN"/>
              </w:rPr>
              <w:t>每一份量表在观察实施的过程中观察者既要记录量表信息又要填写听课信息肯定是手忙脚乱，所以前期的会议可以帮助老师们提前记录听课内容，课上则重点进行点位观察，在评课环节通过量表上的数据真实评价学生的学习状态，探讨改进的有效策略，真正从课堂学习入手。</w:t>
            </w:r>
          </w:p>
        </w:tc>
      </w:tr>
    </w:tbl>
    <w:p>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NTA1OWIzZjlhNDY3OTg4ZjNhYzIyOTQ4ZmEyODgifQ=="/>
  </w:docVars>
  <w:rsids>
    <w:rsidRoot w:val="00391945"/>
    <w:rsid w:val="00011EDD"/>
    <w:rsid w:val="001A320E"/>
    <w:rsid w:val="00255CBC"/>
    <w:rsid w:val="002F4190"/>
    <w:rsid w:val="00391945"/>
    <w:rsid w:val="003D162C"/>
    <w:rsid w:val="00812522"/>
    <w:rsid w:val="00A237BA"/>
    <w:rsid w:val="00AC5182"/>
    <w:rsid w:val="51BFFA36"/>
    <w:rsid w:val="5F5F0227"/>
    <w:rsid w:val="62A805B7"/>
    <w:rsid w:val="77EDE2DC"/>
    <w:rsid w:val="F9F7A367"/>
    <w:rsid w:val="FAF231A7"/>
    <w:rsid w:val="FC67B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1346</Characters>
  <Lines>11</Lines>
  <Paragraphs>3</Paragraphs>
  <TotalTime>0</TotalTime>
  <ScaleCrop>false</ScaleCrop>
  <LinksUpToDate>false</LinksUpToDate>
  <CharactersWithSpaces>1578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Microsoft Office User</dc:creator>
  <cp:lastModifiedBy>玖櫟</cp:lastModifiedBy>
  <dcterms:modified xsi:type="dcterms:W3CDTF">2024-05-21T00:36:51Z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F7116A8302B3CD6B6C094B662CA276D8_42</vt:lpwstr>
  </property>
</Properties>
</file>