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A8C9A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利用导数研究超越函数的图象与性质</w:t>
      </w:r>
    </w:p>
    <w:p w14:paraId="16682907"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教学目标</w:t>
      </w:r>
    </w:p>
    <w:p w14:paraId="57B40D16"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掌握函数单调性与极值的求法</w:t>
      </w:r>
    </w:p>
    <w:p w14:paraId="5EE74390"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掌握六种常见超越函数的图象与性质</w:t>
      </w:r>
    </w:p>
    <w:p w14:paraId="2DFB5BAE">
      <w:pPr>
        <w:numPr>
          <w:ilvl w:val="0"/>
          <w:numId w:val="1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教学重难点</w:t>
      </w:r>
    </w:p>
    <w:p w14:paraId="67E04BF2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超越函数的图象与性质</w:t>
      </w:r>
    </w:p>
    <w:p w14:paraId="25C0C0F2">
      <w:pPr>
        <w:numPr>
          <w:ilvl w:val="0"/>
          <w:numId w:val="1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教学过程：</w:t>
      </w:r>
    </w:p>
    <w:p w14:paraId="70BA6187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1.引入：三种基本函数</w:t>
      </w:r>
    </w:p>
    <w:p w14:paraId="4D65945A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position w:val="-10"/>
          <w:lang w:val="en-US" w:eastAsia="zh-CN"/>
        </w:rPr>
        <w:object>
          <v:shape id="_x0000_i1026" o:spt="75" type="#_x0000_t75" style="height:18pt;width:31.9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6" DrawAspect="Content" ObjectID="_1468075725" r:id="rId4">
            <o:LockedField>false</o:LockedField>
          </o:OLEObject>
        </w:object>
      </w:r>
      <w:r>
        <w:rPr>
          <w:rFonts w:hint="default"/>
          <w:lang w:val="en-US" w:eastAsia="zh-CN"/>
        </w:rPr>
        <w:t>(指数爆炸):增长速度极快,常用于描述指数型增长,其图像呈快速上升趋势,体现了指数增长的强大威力。</w:t>
      </w:r>
    </w:p>
    <w:p w14:paraId="355CBA4C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position w:val="-10"/>
          <w:lang w:val="en-US" w:eastAsia="zh-CN"/>
        </w:rPr>
        <w:object>
          <v:shape id="_x0000_i1027" o:spt="75" type="#_x0000_t75" style="height:16pt;width:40pt;" o:ole="t" filled="f" o:preferrelative="t" stroked="f" coordsize="21600,21600"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7" DrawAspect="Content" ObjectID="_1468075726" r:id="rId6">
            <o:LockedField>false</o:LockedField>
          </o:OLEObject>
        </w:object>
      </w:r>
      <w:r>
        <w:rPr>
          <w:rFonts w:hint="default"/>
          <w:lang w:val="en-US" w:eastAsia="zh-CN"/>
        </w:rPr>
        <w:t>(对数增长):增长缓慢,常用于描述对数型增长,其图像在x&gt;0时缓慢上升,反映了对数增长的渐进性。</w:t>
      </w:r>
    </w:p>
    <w:p w14:paraId="46E2E239">
      <w:pPr>
        <w:numPr>
          <w:numId w:val="0"/>
        </w:numPr>
        <w:rPr>
          <w:rFonts w:hint="default"/>
          <w:lang w:val="en-US" w:eastAsia="zh-CN"/>
        </w:rPr>
      </w:pPr>
      <m:oMath>
        <m:r>
          <m:rPr/>
          <w:rPr>
            <w:rFonts w:hint="default" w:ascii="Cambria Math" w:hAnsi="Cambria Math" w:cs="Times New Roman"/>
            <w:kern w:val="2"/>
            <w:sz w:val="21"/>
            <w:szCs w:val="24"/>
            <w:lang w:val="en-US" w:eastAsia="zh-CN" w:bidi="ar-SA"/>
          </w:rPr>
          <m:t>y=x</m:t>
        </m:r>
      </m:oMath>
      <w:r>
        <w:rPr>
          <w:rFonts w:hint="default"/>
          <w:lang w:val="en-US" w:eastAsia="zh-CN"/>
        </w:rPr>
        <w:t>(线性基准):作为基准函数,用于比较其他函数的增长速率,其图像为一条直线,斜率为1直观地展现了线性增长的特点，便于与其他函数进行对比分析。</w:t>
      </w:r>
    </w:p>
    <w:p w14:paraId="3BF84514">
      <w:pPr>
        <w:numPr>
          <w:numId w:val="0"/>
        </w:numPr>
      </w:pPr>
      <w:r>
        <w:drawing>
          <wp:inline distT="0" distB="0" distL="114300" distR="114300">
            <wp:extent cx="2432685" cy="1557655"/>
            <wp:effectExtent l="0" t="0" r="5715" b="12065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2685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ABE38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2.常见的六种超越函数：（1）</w:t>
      </w:r>
      <w:r>
        <w:rPr>
          <w:position w:val="-10"/>
        </w:rPr>
        <w:object>
          <v:shape id="_x0000_i1031" o:spt="75" type="#_x0000_t75" style="height:18pt;width:38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31" DrawAspect="Content" ObjectID="_1468075727" r:id="rId9">
            <o:LockedField>false</o:LockedField>
          </o:OLEObject>
        </w:object>
      </w:r>
      <w:r>
        <w:rPr>
          <w:rFonts w:hint="eastAsia"/>
          <w:lang w:val="en-US" w:eastAsia="zh-CN"/>
        </w:rPr>
        <w:t>;（2）</w:t>
      </w:r>
      <w:r>
        <w:rPr>
          <w:rFonts w:hint="eastAsia"/>
          <w:position w:val="-24"/>
          <w:lang w:val="en-US" w:eastAsia="zh-CN"/>
        </w:rPr>
        <w:object>
          <v:shape id="_x0000_i1032" o:spt="75" type="#_x0000_t75" style="height:33pt;width:35pt;" o:ole="t" filled="f" o:preferrelative="t" stroked="f" coordsize="21600,21600"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32" DrawAspect="Content" ObjectID="_1468075728" r:id="rId11">
            <o:LockedField>false</o:LockedField>
          </o:OLEObject>
        </w:object>
      </w:r>
      <w:r>
        <w:rPr>
          <w:rFonts w:hint="eastAsia"/>
          <w:lang w:val="en-US" w:eastAsia="zh-CN"/>
        </w:rPr>
        <w:t>；（3）</w:t>
      </w:r>
      <w:r>
        <w:rPr>
          <w:rFonts w:hint="eastAsia"/>
          <w:position w:val="-10"/>
          <w:lang w:val="en-US" w:eastAsia="zh-CN"/>
        </w:rPr>
        <w:object>
          <v:shape id="_x0000_i1033" o:spt="75" type="#_x0000_t75" style="height:16pt;width:48pt;" o:ole="t" filled="f" o:preferrelative="t" stroked="f" coordsize="21600,21600"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33" DrawAspect="Content" ObjectID="_1468075729" r:id="rId13">
            <o:LockedField>false</o:LockedField>
          </o:OLEObject>
        </w:object>
      </w:r>
      <w:r>
        <w:rPr>
          <w:rFonts w:hint="eastAsia"/>
          <w:lang w:val="en-US" w:eastAsia="zh-CN"/>
        </w:rPr>
        <w:t>；</w:t>
      </w:r>
    </w:p>
    <w:p w14:paraId="7AC4701A">
      <w:pPr>
        <w:numPr>
          <w:numId w:val="0"/>
        </w:numPr>
        <w:ind w:leftChars="0" w:firstLine="2310" w:firstLineChars="1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（4）</w:t>
      </w:r>
      <w:r>
        <w:rPr>
          <w:rFonts w:hint="eastAsia"/>
          <w:position w:val="-24"/>
          <w:lang w:val="en-US" w:eastAsia="zh-CN"/>
        </w:rPr>
        <w:object>
          <v:shape id="_x0000_i1034" o:spt="75" type="#_x0000_t75" style="height:31pt;width:42pt;" o:ole="t" filled="f" o:preferrelative="t" stroked="f" coordsize="21600,21600"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4" DrawAspect="Content" ObjectID="_1468075730" r:id="rId15">
            <o:LockedField>false</o:LockedField>
          </o:OLEObject>
        </w:object>
      </w:r>
      <w:r>
        <w:rPr>
          <w:rFonts w:hint="eastAsia"/>
          <w:lang w:val="en-US" w:eastAsia="zh-CN"/>
        </w:rPr>
        <w:t>；（5）</w:t>
      </w:r>
      <w:r>
        <w:rPr>
          <w:rFonts w:hint="eastAsia"/>
          <w:position w:val="-10"/>
          <w:lang w:val="en-US" w:eastAsia="zh-CN"/>
        </w:rPr>
        <w:object>
          <v:shape id="_x0000_i1035" o:spt="75" type="#_x0000_t75" style="height:18pt;width:49.95pt;" o:ole="t" filled="f" o:preferrelative="t" stroked="f" coordsize="21600,21600"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35" DrawAspect="Content" ObjectID="_1468075731" r:id="rId17">
            <o:LockedField>false</o:LockedField>
          </o:OLEObject>
        </w:object>
      </w:r>
      <w:r>
        <w:rPr>
          <w:rFonts w:hint="eastAsia"/>
          <w:lang w:val="en-US" w:eastAsia="zh-CN"/>
        </w:rPr>
        <w:t>；（6）</w:t>
      </w:r>
      <w:r>
        <w:rPr>
          <w:rFonts w:hint="eastAsia"/>
          <w:position w:val="-10"/>
          <w:lang w:val="en-US" w:eastAsia="zh-CN"/>
        </w:rPr>
        <w:object>
          <v:shape id="_x0000_i1036" o:spt="75" type="#_x0000_t75" style="height:16pt;width:57pt;" o:ole="t" filled="f" o:preferrelative="t" stroked="f" coordsize="21600,21600"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36" DrawAspect="Content" ObjectID="_1468075732" r:id="rId19">
            <o:LockedField>false</o:LockedField>
          </o:OLEObject>
        </w:object>
      </w:r>
    </w:p>
    <w:p w14:paraId="7FB7277D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3.研究超越函数的图象与性质</w:t>
      </w:r>
    </w:p>
    <w:p w14:paraId="33631D25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例1.（1）</w:t>
      </w:r>
      <w:r>
        <w:rPr>
          <w:position w:val="-10"/>
        </w:rPr>
        <w:object>
          <v:shape id="_x0000_i1037" o:spt="75" type="#_x0000_t75" style="height:18pt;width:38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37" DrawAspect="Content" ObjectID="_1468075733" r:id="rId21">
            <o:LockedField>false</o:LockedField>
          </o:OLEObject>
        </w:objec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（2）</w:t>
      </w:r>
      <w:r>
        <w:rPr>
          <w:rFonts w:hint="eastAsia"/>
          <w:position w:val="-24"/>
          <w:lang w:val="en-US" w:eastAsia="zh-CN"/>
        </w:rPr>
        <w:object>
          <v:shape id="_x0000_i1041" o:spt="75" type="#_x0000_t75" style="height:33pt;width:3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41" DrawAspect="Content" ObjectID="_1468075734" r:id="rId22">
            <o:LockedField>false</o:LockedField>
          </o:OLEObject>
        </w:object>
      </w:r>
    </w:p>
    <w:p w14:paraId="409FA66B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单调性：</w:t>
      </w:r>
    </w:p>
    <w:p w14:paraId="41854FCA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极大值值</w:t>
      </w:r>
    </w:p>
    <w:p w14:paraId="38A2E2D0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零点</w:t>
      </w:r>
    </w:p>
    <w:p w14:paraId="34602640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渐近线</w:t>
      </w:r>
    </w:p>
    <w:p w14:paraId="71B62A2D">
      <w:pPr>
        <w:numPr>
          <w:ilvl w:val="0"/>
          <w:numId w:val="0"/>
        </w:num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值域</w:t>
      </w:r>
    </w:p>
    <w:p w14:paraId="2903B509">
      <w:pPr>
        <w:numPr>
          <w:numId w:val="0"/>
        </w:num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2678430</wp:posOffset>
            </wp:positionH>
            <wp:positionV relativeFrom="paragraph">
              <wp:posOffset>565150</wp:posOffset>
            </wp:positionV>
            <wp:extent cx="1407160" cy="1483360"/>
            <wp:effectExtent l="0" t="0" r="10160" b="10160"/>
            <wp:wrapSquare wrapText="bothSides"/>
            <wp:docPr id="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注：1.定义域2.利用导数的正负性判断函数的单调性，确定函数的增减区间和极值点3.标注零点及极值点等特殊点，使图像更加完整4.分析函数在定义域两端的极限行为，如x→0,x→+∞等情况下判断函数值的极限值</w:t>
      </w:r>
    </w:p>
    <w:p w14:paraId="2DA8ABBA">
      <w:pPr>
        <w:numPr>
          <w:numId w:val="0"/>
        </w:num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1912620" cy="1511935"/>
            <wp:effectExtent l="0" t="0" r="7620" b="12065"/>
            <wp:wrapNone/>
            <wp:docPr id="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                 </w:t>
      </w:r>
    </w:p>
    <w:p w14:paraId="1DA77401">
      <w:pPr>
        <w:numPr>
          <w:numId w:val="0"/>
        </w:numPr>
        <w:rPr>
          <w:rFonts w:hint="eastAsia"/>
          <w:lang w:val="en-US" w:eastAsia="zh-CN"/>
        </w:rPr>
      </w:pPr>
    </w:p>
    <w:p w14:paraId="00C5ED16">
      <w:pPr>
        <w:numPr>
          <w:numId w:val="0"/>
        </w:numPr>
        <w:rPr>
          <w:rFonts w:hint="eastAsia"/>
          <w:lang w:val="en-US" w:eastAsia="zh-CN"/>
        </w:rPr>
      </w:pPr>
    </w:p>
    <w:p w14:paraId="7D353B5C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</w:t>
      </w:r>
      <w:r>
        <w:rPr>
          <w:rFonts w:hint="eastAsia"/>
          <w:position w:val="-10"/>
          <w:lang w:val="en-US" w:eastAsia="zh-CN"/>
        </w:rPr>
        <w:object>
          <v:shape id="_x0000_i1042" o:spt="75" type="#_x0000_t75" style="height:16pt;width:48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42" DrawAspect="Content" ObjectID="_1468075735" r:id="rId25">
            <o:LockedField>false</o:LockedField>
          </o:OLEObject>
        </w:object>
      </w:r>
      <w:r>
        <w:rPr>
          <w:rFonts w:hint="eastAsia"/>
          <w:lang w:val="en-US" w:eastAsia="zh-CN"/>
        </w:rPr>
        <w:t>；                   （4）</w:t>
      </w:r>
      <w:r>
        <w:rPr>
          <w:rFonts w:hint="eastAsia"/>
          <w:position w:val="-24"/>
          <w:lang w:val="en-US" w:eastAsia="zh-CN"/>
        </w:rPr>
        <w:object>
          <v:shape id="_x0000_i1043" o:spt="75" type="#_x0000_t75" style="height:31pt;width:42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43" DrawAspect="Content" ObjectID="_1468075736" r:id="rId26">
            <o:LockedField>false</o:LockedField>
          </o:OLEObject>
        </w:object>
      </w:r>
      <w:r>
        <w:rPr>
          <w:rFonts w:hint="eastAsia"/>
          <w:lang w:val="en-US" w:eastAsia="zh-CN"/>
        </w:rPr>
        <w:t>；</w:t>
      </w:r>
    </w:p>
    <w:p w14:paraId="4E4AD4EF">
      <w:pPr>
        <w:numPr>
          <w:numId w:val="0"/>
        </w:num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1976120</wp:posOffset>
            </wp:positionH>
            <wp:positionV relativeFrom="paragraph">
              <wp:posOffset>24765</wp:posOffset>
            </wp:positionV>
            <wp:extent cx="2221865" cy="1512570"/>
            <wp:effectExtent l="0" t="0" r="3175" b="11430"/>
            <wp:wrapSquare wrapText="bothSides"/>
            <wp:docPr id="6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221865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1486535" cy="1486535"/>
            <wp:effectExtent l="0" t="0" r="6985" b="6985"/>
            <wp:docPr id="5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4CA47">
      <w:pPr>
        <w:numPr>
          <w:numId w:val="0"/>
        </w:numPr>
        <w:rPr>
          <w:rFonts w:hint="eastAsia"/>
          <w:lang w:val="en-US" w:eastAsia="zh-CN"/>
        </w:rPr>
      </w:pPr>
    </w:p>
    <w:p w14:paraId="1E26E306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（5）</w:t>
      </w:r>
      <w:r>
        <w:rPr>
          <w:rFonts w:hint="eastAsia"/>
          <w:position w:val="-10"/>
          <w:lang w:val="en-US" w:eastAsia="zh-CN"/>
        </w:rPr>
        <w:object>
          <v:shape id="_x0000_i1047" o:spt="75" type="#_x0000_t75" style="height:18pt;width:49.95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47" DrawAspect="Content" ObjectID="_1468075737" r:id="rId29">
            <o:LockedField>false</o:LockedField>
          </o:OLEObject>
        </w:object>
      </w:r>
      <w:r>
        <w:rPr>
          <w:rFonts w:hint="eastAsia"/>
          <w:lang w:val="en-US" w:eastAsia="zh-CN"/>
        </w:rPr>
        <w:t>；                      （6）</w:t>
      </w:r>
      <w:r>
        <w:rPr>
          <w:rFonts w:hint="eastAsia"/>
          <w:position w:val="-10"/>
          <w:lang w:val="en-US" w:eastAsia="zh-CN"/>
        </w:rPr>
        <w:object>
          <v:shape id="_x0000_i1048" o:spt="75" type="#_x0000_t75" style="height:16pt;width:57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48" DrawAspect="Content" ObjectID="_1468075738" r:id="rId30">
            <o:LockedField>false</o:LockedField>
          </o:OLEObject>
        </w:object>
      </w:r>
    </w:p>
    <w:p w14:paraId="66311A13">
      <w:pPr>
        <w:numPr>
          <w:numId w:val="0"/>
        </w:num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2275205</wp:posOffset>
            </wp:positionH>
            <wp:positionV relativeFrom="paragraph">
              <wp:posOffset>45085</wp:posOffset>
            </wp:positionV>
            <wp:extent cx="2040255" cy="1847850"/>
            <wp:effectExtent l="0" t="0" r="1905" b="11430"/>
            <wp:wrapSquare wrapText="bothSides"/>
            <wp:docPr id="8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7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1686560" cy="1865630"/>
            <wp:effectExtent l="0" t="0" r="5080" b="8890"/>
            <wp:docPr id="7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6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686560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7E09D">
      <w:pPr>
        <w:numPr>
          <w:numId w:val="0"/>
        </w:numPr>
        <w:rPr>
          <w:rFonts w:hint="eastAsia"/>
          <w:lang w:val="en-US" w:eastAsia="zh-CN"/>
        </w:rPr>
      </w:pPr>
    </w:p>
    <w:p w14:paraId="7C994C4A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例2.</w:t>
      </w:r>
      <w:r>
        <w:rPr>
          <w:rFonts w:hint="default"/>
          <w:lang w:val="en-US" w:eastAsia="zh-CN"/>
        </w:rPr>
        <w:t>函数</w:t>
      </w:r>
      <w:r>
        <w:rPr>
          <w:rFonts w:hint="default"/>
          <w:position w:val="-10"/>
          <w:lang w:val="en-US" w:eastAsia="zh-CN"/>
        </w:rPr>
        <w:object>
          <v:shape id="_x0000_i1052" o:spt="75" type="#_x0000_t75" style="height:16pt;width:62pt;" o:ole="t" filled="f" o:preferrelative="t" stroked="f" coordsize="21600,21600"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KSEE3" ShapeID="_x0000_i1052" DrawAspect="Content" ObjectID="_1468075739" r:id="rId33">
            <o:LockedField>false</o:LockedField>
          </o:OLEObject>
        </w:object>
      </w:r>
      <w:r>
        <w:rPr>
          <w:rFonts w:hint="default"/>
          <w:lang w:val="en-US" w:eastAsia="zh-CN"/>
        </w:rPr>
        <w:t>有两个零点，求</w:t>
      </w:r>
      <w:r>
        <w:rPr>
          <w:rFonts w:hint="default" w:ascii="Times New Roman" w:hAnsi="Times New Roman" w:cs="Times New Roman"/>
          <w:b w:val="0"/>
          <w:bCs w:val="0"/>
          <w:i/>
          <w:iCs/>
          <w:lang w:val="en-US" w:eastAsia="zh-CN"/>
        </w:rPr>
        <w:t>a</w:t>
      </w:r>
      <w:r>
        <w:rPr>
          <w:rFonts w:hint="default"/>
          <w:lang w:val="en-US" w:eastAsia="zh-CN"/>
        </w:rPr>
        <w:t>的取值范围</w:t>
      </w:r>
    </w:p>
    <w:p w14:paraId="530FFBA3"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 w14:paraId="09E00375"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 w14:paraId="657037F6"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变式1：讨论</w:t>
      </w:r>
      <w:r>
        <w:rPr>
          <w:rFonts w:hint="default"/>
          <w:position w:val="-10"/>
          <w:lang w:val="en-US" w:eastAsia="zh-CN"/>
        </w:rPr>
        <w:object>
          <v:shape id="_x0000_i1055" o:spt="75" type="#_x0000_t75" style="height:16pt;width:62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KSEE3" ShapeID="_x0000_i1055" DrawAspect="Content" ObjectID="_1468075740" r:id="rId35">
            <o:LockedField>false</o:LockedField>
          </o:OLEObject>
        </w:object>
      </w:r>
      <w:r>
        <w:rPr>
          <w:rFonts w:hint="eastAsia"/>
          <w:lang w:val="en-US" w:eastAsia="zh-CN"/>
        </w:rPr>
        <w:t>的零点个数</w:t>
      </w:r>
    </w:p>
    <w:p w14:paraId="3C9462BA"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 w14:paraId="34749651"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 w14:paraId="54585D0B"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 w14:paraId="1EF23430">
      <w:pPr>
        <w:spacing w:line="370" w:lineRule="exact"/>
        <w:rPr>
          <w:rFonts w:asciiTheme="majorEastAsia" w:hAnsiTheme="majorEastAsia" w:eastAsiaTheme="majorEastAsia"/>
        </w:rPr>
      </w:pPr>
      <w:r>
        <w:rPr>
          <w:rFonts w:hint="eastAsia"/>
          <w:lang w:val="en-US" w:eastAsia="zh-CN"/>
        </w:rPr>
        <w:t>变式2.</w:t>
      </w:r>
      <w:r>
        <w:rPr>
          <w:rFonts w:asciiTheme="majorEastAsia" w:hAnsiTheme="majorEastAsia" w:eastAsiaTheme="majorEastAsia"/>
        </w:rPr>
        <w:t>已知e是自然对数的底数,则下列不等关系正确的是(</w:t>
      </w:r>
      <w:r>
        <w:rPr>
          <w:rFonts w:asciiTheme="majorEastAsia" w:hAnsiTheme="majorEastAsia" w:eastAsiaTheme="majorEastAsia"/>
          <w:i/>
        </w:rPr>
        <w:t>　　</w:t>
      </w:r>
      <w:r>
        <w:rPr>
          <w:rFonts w:asciiTheme="majorEastAsia" w:hAnsiTheme="majorEastAsia" w:eastAsiaTheme="majorEastAsia"/>
        </w:rPr>
        <w:t>)</w:t>
      </w:r>
      <w:r>
        <w:rPr>
          <w:rFonts w:asciiTheme="majorEastAsia" w:hAnsiTheme="majorEastAsia" w:eastAsiaTheme="majorEastAsia"/>
          <w:i/>
        </w:rPr>
        <w:t>.</w:t>
      </w:r>
    </w:p>
    <w:p w14:paraId="22265B55">
      <w:pPr>
        <w:rPr>
          <w:rFonts w:hint="default" w:ascii="Times New Roman" w:hAnsi="Times New Roman" w:cs="Times New Roman"/>
          <w:i w:val="0"/>
          <w:iCs w:val="0"/>
        </w:rPr>
      </w:pPr>
      <w:r>
        <w:rPr>
          <w:rFonts w:hint="default" w:ascii="Times New Roman" w:hAnsi="Times New Roman" w:cs="Times New Roman"/>
          <w:i w:val="0"/>
          <w:iCs w:val="0"/>
        </w:rPr>
        <w:t>A.ln2&gt;</w:t>
      </w:r>
      <m:oMath>
        <m:f>
          <m:fPr>
            <m:ctrlPr>
              <w:rPr>
                <w:rFonts w:hint="default" w:ascii="Cambria Math" w:hAnsi="Cambria Math" w:cs="Times New Roman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</w:rPr>
              <m:t>2</m:t>
            </m:r>
            <m:ctrlPr>
              <w:rPr>
                <w:rFonts w:hint="default" w:ascii="Cambria Math" w:hAnsi="Cambria Math" w:cs="Times New Roman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</w:rPr>
              <m:t>e</m:t>
            </m:r>
            <m:ctrlPr>
              <w:rPr>
                <w:rFonts w:hint="default" w:ascii="Cambria Math" w:hAnsi="Cambria Math" w:cs="Times New Roman"/>
                <w:i w:val="0"/>
                <w:iCs w:val="0"/>
              </w:rPr>
            </m:ctrlPr>
          </m:den>
        </m:f>
      </m:oMath>
      <w:r>
        <w:rPr>
          <w:rFonts w:hint="default" w:ascii="Times New Roman" w:hAnsi="Times New Roman" w:cs="Times New Roman"/>
          <w:i w:val="0"/>
          <w:iCs w:val="0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</w:rPr>
        <w:tab/>
      </w:r>
      <w:r>
        <w:rPr>
          <w:rFonts w:hint="default" w:ascii="Times New Roman" w:hAnsi="Times New Roman" w:cs="Times New Roman"/>
          <w:i w:val="0"/>
          <w:iCs w:val="0"/>
        </w:rPr>
        <w:t>B.ln 3&lt;</w:t>
      </w:r>
      <m:oMath>
        <m:f>
          <m:fPr>
            <m:ctrlPr>
              <w:rPr>
                <w:rFonts w:hint="default" w:ascii="Cambria Math" w:hAnsi="Cambria Math" w:cs="Times New Roman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</w:rPr>
              <m:t>3</m:t>
            </m:r>
            <m:ctrlPr>
              <w:rPr>
                <w:rFonts w:hint="default" w:ascii="Cambria Math" w:hAnsi="Cambria Math" w:cs="Times New Roman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</w:rPr>
              <m:t>e</m:t>
            </m:r>
            <m:ctrlPr>
              <w:rPr>
                <w:rFonts w:hint="default" w:ascii="Cambria Math" w:hAnsi="Cambria Math" w:cs="Times New Roman"/>
                <w:i w:val="0"/>
                <w:iCs w:val="0"/>
              </w:rPr>
            </m:ctrlPr>
          </m:den>
        </m:f>
      </m:oMath>
      <w:r>
        <w:rPr>
          <w:rFonts w:hint="default" w:ascii="Times New Roman" w:hAnsi="Times New Roman" w:cs="Times New Roman"/>
          <w:i w:val="0"/>
          <w:iCs w:val="0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i w:val="0"/>
          <w:iCs w:val="0"/>
        </w:rPr>
        <w:t>C.ln π&gt;</w:t>
      </w:r>
      <m:oMath>
        <m:f>
          <m:fPr>
            <m:ctrlPr>
              <w:rPr>
                <w:rFonts w:hint="default" w:ascii="Cambria Math" w:hAnsi="Cambria Math" w:cs="Times New Roman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</w:rPr>
              <m:t>π</m:t>
            </m:r>
            <m:ctrlPr>
              <w:rPr>
                <w:rFonts w:hint="default" w:ascii="Cambria Math" w:hAnsi="Cambria Math" w:cs="Times New Roman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</w:rPr>
              <m:t>e</m:t>
            </m:r>
            <m:ctrlPr>
              <w:rPr>
                <w:rFonts w:hint="default" w:ascii="Cambria Math" w:hAnsi="Cambria Math" w:cs="Times New Roman"/>
                <w:i w:val="0"/>
                <w:iCs w:val="0"/>
              </w:rPr>
            </m:ctrlPr>
          </m:den>
        </m:f>
      </m:oMath>
      <w:r>
        <w:rPr>
          <w:rFonts w:hint="default" w:ascii="Times New Roman" w:hAnsi="Times New Roman" w:cs="Times New Roman"/>
          <w:i w:val="0"/>
          <w:iCs w:val="0"/>
        </w:rPr>
        <w:tab/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i w:val="0"/>
          <w:iCs w:val="0"/>
        </w:rPr>
        <w:t>D.</w:t>
      </w:r>
      <m:oMath>
        <m:f>
          <m:fPr>
            <m:ctrlPr>
              <w:rPr>
                <w:rFonts w:hint="default" w:ascii="Cambria Math" w:hAnsi="Cambria Math" w:cs="Times New Roman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</w:rPr>
              <m:t>ln3</m:t>
            </m:r>
            <m:ctrlPr>
              <w:rPr>
                <w:rFonts w:hint="default" w:ascii="Cambria Math" w:hAnsi="Cambria Math" w:cs="Times New Roman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</w:rPr>
              <m:t>ln</m:t>
            </m:r>
            <m:r>
              <m:rPr>
                <m:sty m:val="p"/>
              </m:rPr>
              <w:rPr>
                <w:rFonts w:hint="default" w:ascii="Cambria Math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hint="default" w:ascii="Cambria Math" w:hAnsi="Cambria Math" w:cs="Times New Roman"/>
              </w:rPr>
              <m:t>π</m:t>
            </m:r>
            <m:ctrlPr>
              <w:rPr>
                <w:rFonts w:hint="default" w:ascii="Cambria Math" w:hAnsi="Cambria Math" w:cs="Times New Roman"/>
                <w:i w:val="0"/>
                <w:iCs w:val="0"/>
              </w:rPr>
            </m:ctrlPr>
          </m:den>
        </m:f>
      </m:oMath>
      <w:r>
        <w:rPr>
          <w:rFonts w:hint="default" w:ascii="Times New Roman" w:hAnsi="Times New Roman" w:cs="Times New Roman"/>
          <w:i w:val="0"/>
          <w:iCs w:val="0"/>
        </w:rPr>
        <w:t>&lt;</w:t>
      </w:r>
      <m:oMath>
        <m:f>
          <m:fPr>
            <m:ctrlPr>
              <w:rPr>
                <w:rFonts w:hint="default" w:ascii="Cambria Math" w:hAnsi="Cambria Math" w:cs="Times New Roman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</w:rPr>
              <m:t>3</m:t>
            </m:r>
            <m:ctrlPr>
              <w:rPr>
                <w:rFonts w:hint="default" w:ascii="Cambria Math" w:hAnsi="Cambria Math" w:cs="Times New Roman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</w:rPr>
              <m:t>π</m:t>
            </m:r>
            <m:ctrlPr>
              <w:rPr>
                <w:rFonts w:hint="default" w:ascii="Cambria Math" w:hAnsi="Cambria Math" w:cs="Times New Roman"/>
                <w:i w:val="0"/>
                <w:iCs w:val="0"/>
              </w:rPr>
            </m:ctrlPr>
          </m:den>
        </m:f>
      </m:oMath>
    </w:p>
    <w:p w14:paraId="6E7F2016"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 w14:paraId="534676AB"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 w14:paraId="3E5CEA34"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 w14:paraId="6FD8E143"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 w14:paraId="05A4579B"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 w14:paraId="6EB3487A"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 w14:paraId="4092CF4A"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 w14:paraId="105E5DC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变式3.（多选）对于函数</w:t>
      </w:r>
      <w:r>
        <w:rPr>
          <w:rFonts w:hint="eastAsia"/>
          <w:position w:val="-24"/>
          <w:lang w:val="en-US" w:eastAsia="zh-CN"/>
        </w:rPr>
        <w:object>
          <v:shape id="_x0000_i1056" o:spt="75" type="#_x0000_t75" style="height:31pt;width:62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056" DrawAspect="Content" ObjectID="_1468075741" r:id="rId36">
            <o:LockedField>false</o:LockedField>
          </o:OLEObject>
        </w:object>
      </w:r>
      <w:r>
        <w:rPr>
          <w:rFonts w:hint="eastAsia"/>
          <w:lang w:val="en-US" w:eastAsia="zh-CN"/>
        </w:rPr>
        <w:t>下列说法中正确的有（    ）</w:t>
      </w:r>
    </w:p>
    <w:p w14:paraId="2602238A"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position w:val="-24"/>
          <w:lang w:val="en-US" w:eastAsia="zh-CN"/>
        </w:rPr>
        <w:object>
          <v:shape id="_x0000_i1057" o:spt="75" type="#_x0000_t75" style="height:31pt;width:156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KSEE3" ShapeID="_x0000_i1057" DrawAspect="Content" ObjectID="_1468075742" r:id="rId38">
            <o:LockedField>false</o:LockedField>
          </o:OLEObject>
        </w:object>
      </w:r>
    </w:p>
    <w:p w14:paraId="2E364BF2"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position w:val="-10"/>
          <w:lang w:val="en-US" w:eastAsia="zh-CN"/>
        </w:rPr>
        <w:object>
          <v:shape id="_x0000_i1058" o:spt="75" type="#_x0000_t75" style="height:17pt;width:121.95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KSEE3" ShapeID="_x0000_i1058" DrawAspect="Content" ObjectID="_1468075743" r:id="rId40">
            <o:LockedField>false</o:LockedField>
          </o:OLEObject>
        </w:object>
      </w:r>
    </w:p>
    <w:p w14:paraId="498FEA2D"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position w:val="-10"/>
          <w:lang w:val="en-US" w:eastAsia="zh-CN"/>
        </w:rPr>
        <w:object>
          <v:shape id="_x0000_i1059" o:spt="75" type="#_x0000_t75" style="height:19pt;width:114.95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KSEE3" ShapeID="_x0000_i1059" DrawAspect="Content" ObjectID="_1468075744" r:id="rId42">
            <o:LockedField>false</o:LockedField>
          </o:OLEObject>
        </w:object>
      </w:r>
    </w:p>
    <w:p w14:paraId="3588BC7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</w:t>
      </w:r>
      <w:r>
        <w:rPr>
          <w:rFonts w:hint="eastAsia"/>
          <w:position w:val="-24"/>
          <w:lang w:val="en-US" w:eastAsia="zh-CN"/>
        </w:rPr>
        <w:object>
          <v:shape id="_x0000_i1060" o:spt="75" type="#_x0000_t75" style="height:31pt;width:238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KSEE3" ShapeID="_x0000_i1060" DrawAspect="Content" ObjectID="_1468075745" r:id="rId44">
            <o:LockedField>false</o:LockedField>
          </o:OLEObject>
        </w:object>
      </w:r>
    </w:p>
    <w:p w14:paraId="4690ED0B">
      <w:pPr>
        <w:numPr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课堂小结：</w:t>
      </w:r>
    </w:p>
    <w:p w14:paraId="39C53D6F">
      <w:pPr>
        <w:numPr>
          <w:numId w:val="0"/>
        </w:numPr>
        <w:rPr>
          <w:rFonts w:hint="default" w:ascii="华文楷体" w:hAnsi="华文楷体" w:eastAsia="华文楷体" w:cs="华文楷体"/>
          <w:lang w:val="en-US" w:eastAsia="zh-CN"/>
        </w:rPr>
      </w:pPr>
      <w:r>
        <w:rPr>
          <w:rFonts w:hint="eastAsia" w:ascii="华文楷体" w:hAnsi="华文楷体" w:eastAsia="华文楷体" w:cs="华文楷体"/>
          <w:lang w:val="en-US" w:eastAsia="zh-CN"/>
        </w:rPr>
        <w:t>研究超越函数的图象与性质1.看定义域2.研究单调性3.找特殊点4.考虑有界性（渐近线）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ahnschrift Semi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3BE139"/>
    <w:multiLevelType w:val="singleLevel"/>
    <w:tmpl w:val="B23BE1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C1E57E5"/>
    <w:multiLevelType w:val="singleLevel"/>
    <w:tmpl w:val="DC1E57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EFF5596"/>
    <w:multiLevelType w:val="singleLevel"/>
    <w:tmpl w:val="FEFF5596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9744D"/>
    <w:rsid w:val="0C39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png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7" Type="http://schemas.openxmlformats.org/officeDocument/2006/relationships/fontTable" Target="fontTable.xml"/><Relationship Id="rId46" Type="http://schemas.openxmlformats.org/officeDocument/2006/relationships/numbering" Target="numbering.xml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oleObject" Target="embeddings/oleObject16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5.png"/><Relationship Id="rId31" Type="http://schemas.openxmlformats.org/officeDocument/2006/relationships/image" Target="media/image14.png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3.png"/><Relationship Id="rId27" Type="http://schemas.openxmlformats.org/officeDocument/2006/relationships/image" Target="media/image12.png"/><Relationship Id="rId26" Type="http://schemas.openxmlformats.org/officeDocument/2006/relationships/oleObject" Target="embeddings/oleObject12.bin"/><Relationship Id="rId25" Type="http://schemas.openxmlformats.org/officeDocument/2006/relationships/oleObject" Target="embeddings/oleObject11.bin"/><Relationship Id="rId24" Type="http://schemas.openxmlformats.org/officeDocument/2006/relationships/image" Target="media/image11.png"/><Relationship Id="rId23" Type="http://schemas.openxmlformats.org/officeDocument/2006/relationships/image" Target="media/image10.png"/><Relationship Id="rId22" Type="http://schemas.openxmlformats.org/officeDocument/2006/relationships/oleObject" Target="embeddings/oleObject10.bin"/><Relationship Id="rId21" Type="http://schemas.openxmlformats.org/officeDocument/2006/relationships/oleObject" Target="embeddings/oleObject9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8.wmf"/><Relationship Id="rId17" Type="http://schemas.openxmlformats.org/officeDocument/2006/relationships/oleObject" Target="embeddings/oleObject7.bin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2025-04-25T05:57:00Z</dcterms:created>
  <dc:creator>wcx</dc:creator>
  <cp:lastModifiedBy>wcx</cp:lastModifiedBy>
  <dcterms:modified xsi:type="dcterms:W3CDTF">2025-04-25T06:44:03Z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61AC6FF4C4A7451C9F0C15C154BDFCD3_11</vt:lpwstr>
  </property>
  <property fmtid="{D5CDD505-2E9C-101B-9397-08002B2CF9AE}" pid="4" name="KSOTemplateDocerSaveRecord">
    <vt:lpwstr>eyJoZGlkIjoiNTg5YzUwMTU4MTEyM2MzZjVhOTNiZTViOTdkOTUwYWEiLCJ1c2VySWQiOiI0NjAxNTkyNzAifQ==</vt:lpwstr>
  </property>
</Properties>
</file>