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988B9">
      <w:pPr>
        <w:jc w:val="center"/>
        <w:rPr>
          <w:rFonts w:hint="eastAsia" w:ascii="宋体" w:hAnsi="宋体"/>
          <w:b/>
          <w:bCs/>
          <w:sz w:val="36"/>
          <w:u w:val="none"/>
        </w:rPr>
      </w:pPr>
      <w:r>
        <w:rPr>
          <w:rFonts w:hint="eastAsia" w:ascii="宋体" w:hAnsi="宋体" w:eastAsia="宋体" w:cs="宋体"/>
          <w:b/>
          <w:bCs/>
          <w:kern w:val="0"/>
          <w:sz w:val="32"/>
          <w:szCs w:val="32"/>
          <w:u w:val="none"/>
          <w:lang w:val="en-US" w:eastAsia="zh-CN"/>
        </w:rPr>
        <w:t>“情境-任务”框架下小学语文读写融合的实践研究</w:t>
      </w:r>
      <w:r>
        <w:rPr>
          <w:rFonts w:hint="eastAsia" w:ascii="宋体" w:hAnsi="宋体"/>
          <w:b/>
          <w:bCs/>
          <w:sz w:val="36"/>
          <w:u w:val="none"/>
        </w:rPr>
        <w:t>　　　</w:t>
      </w:r>
    </w:p>
    <w:p w14:paraId="6C66FB3E">
      <w:pPr>
        <w:jc w:val="center"/>
        <w:rPr>
          <w:rFonts w:hint="eastAsia" w:ascii="宋体" w:hAnsi="宋体"/>
          <w:b/>
          <w:bCs/>
          <w:sz w:val="32"/>
        </w:rPr>
      </w:pPr>
      <w:r>
        <w:rPr>
          <w:rFonts w:hint="eastAsia" w:ascii="宋体" w:hAnsi="宋体"/>
          <w:b/>
          <w:bCs/>
          <w:sz w:val="32"/>
        </w:rPr>
        <w:t>课题研究活动情况登记表</w:t>
      </w:r>
    </w:p>
    <w:p w14:paraId="418BCDC5">
      <w:pPr>
        <w:jc w:val="center"/>
        <w:rPr>
          <w:rFonts w:hint="eastAsia" w:ascii="仿宋_GB2312" w:eastAsia="仿宋_GB2312"/>
          <w:sz w:val="18"/>
        </w:rPr>
      </w:pPr>
    </w:p>
    <w:tbl>
      <w:tblPr>
        <w:tblStyle w:val="3"/>
        <w:tblW w:w="9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601"/>
        <w:gridCol w:w="697"/>
        <w:gridCol w:w="908"/>
        <w:gridCol w:w="1048"/>
        <w:gridCol w:w="2407"/>
        <w:gridCol w:w="1466"/>
        <w:gridCol w:w="2198"/>
      </w:tblGrid>
      <w:tr w14:paraId="3B666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49" w:type="dxa"/>
            <w:gridSpan w:val="2"/>
            <w:noWrap w:val="0"/>
            <w:vAlign w:val="center"/>
          </w:tcPr>
          <w:p w14:paraId="21C5B45F">
            <w:pPr>
              <w:jc w:val="center"/>
              <w:rPr>
                <w:rFonts w:hint="eastAsia" w:ascii="宋体" w:hAnsi="宋体"/>
              </w:rPr>
            </w:pPr>
            <w:r>
              <w:rPr>
                <w:rFonts w:hint="eastAsia" w:ascii="宋体" w:hAnsi="宋体"/>
              </w:rPr>
              <w:t>时间</w:t>
            </w:r>
          </w:p>
        </w:tc>
        <w:tc>
          <w:tcPr>
            <w:tcW w:w="1605" w:type="dxa"/>
            <w:gridSpan w:val="2"/>
            <w:noWrap w:val="0"/>
            <w:vAlign w:val="center"/>
          </w:tcPr>
          <w:p w14:paraId="077C874C">
            <w:pPr>
              <w:jc w:val="center"/>
              <w:rPr>
                <w:rFonts w:hint="default" w:ascii="宋体" w:hAnsi="宋体" w:eastAsia="宋体"/>
                <w:lang w:val="en-US" w:eastAsia="zh-CN"/>
              </w:rPr>
            </w:pPr>
            <w:r>
              <w:rPr>
                <w:rFonts w:hint="eastAsia" w:ascii="宋体" w:hAnsi="宋体"/>
                <w:lang w:val="en-US" w:eastAsia="zh-CN"/>
              </w:rPr>
              <w:t>2025.1.5</w:t>
            </w:r>
          </w:p>
        </w:tc>
        <w:tc>
          <w:tcPr>
            <w:tcW w:w="1048" w:type="dxa"/>
            <w:noWrap w:val="0"/>
            <w:vAlign w:val="center"/>
          </w:tcPr>
          <w:p w14:paraId="50F5AD32">
            <w:pPr>
              <w:jc w:val="center"/>
              <w:rPr>
                <w:rFonts w:hint="eastAsia" w:ascii="宋体" w:hAnsi="宋体"/>
              </w:rPr>
            </w:pPr>
            <w:r>
              <w:rPr>
                <w:rFonts w:hint="eastAsia" w:ascii="宋体" w:hAnsi="宋体"/>
              </w:rPr>
              <w:t>地点</w:t>
            </w:r>
          </w:p>
        </w:tc>
        <w:tc>
          <w:tcPr>
            <w:tcW w:w="2407" w:type="dxa"/>
            <w:noWrap w:val="0"/>
            <w:vAlign w:val="center"/>
          </w:tcPr>
          <w:p w14:paraId="7352C86E">
            <w:pPr>
              <w:jc w:val="center"/>
              <w:rPr>
                <w:rFonts w:hint="default" w:ascii="宋体" w:hAnsi="宋体" w:eastAsia="宋体"/>
                <w:lang w:val="en-US" w:eastAsia="zh-CN"/>
              </w:rPr>
            </w:pPr>
            <w:r>
              <w:rPr>
                <w:rFonts w:hint="eastAsia" w:ascii="宋体" w:hAnsi="宋体"/>
                <w:lang w:val="en-US" w:eastAsia="zh-CN"/>
              </w:rPr>
              <w:t>线上</w:t>
            </w:r>
          </w:p>
        </w:tc>
        <w:tc>
          <w:tcPr>
            <w:tcW w:w="1466" w:type="dxa"/>
            <w:noWrap w:val="0"/>
            <w:vAlign w:val="center"/>
          </w:tcPr>
          <w:p w14:paraId="6EDDB764">
            <w:pPr>
              <w:jc w:val="center"/>
              <w:rPr>
                <w:rFonts w:hint="eastAsia" w:ascii="宋体" w:hAnsi="宋体"/>
              </w:rPr>
            </w:pPr>
            <w:r>
              <w:rPr>
                <w:rFonts w:hint="eastAsia" w:ascii="宋体" w:hAnsi="宋体"/>
              </w:rPr>
              <w:t>参加对象</w:t>
            </w:r>
          </w:p>
        </w:tc>
        <w:tc>
          <w:tcPr>
            <w:tcW w:w="2198" w:type="dxa"/>
            <w:noWrap w:val="0"/>
            <w:vAlign w:val="center"/>
          </w:tcPr>
          <w:p w14:paraId="35722AF0">
            <w:pPr>
              <w:jc w:val="center"/>
              <w:rPr>
                <w:rFonts w:hint="default" w:ascii="宋体" w:hAnsi="宋体" w:eastAsia="宋体"/>
                <w:lang w:val="en-US" w:eastAsia="zh-CN"/>
              </w:rPr>
            </w:pPr>
            <w:r>
              <w:rPr>
                <w:rFonts w:hint="eastAsia" w:ascii="宋体" w:hAnsi="宋体"/>
                <w:lang w:val="en-US" w:eastAsia="zh-CN"/>
              </w:rPr>
              <w:t>课题组成员</w:t>
            </w:r>
          </w:p>
        </w:tc>
      </w:tr>
      <w:tr w14:paraId="1959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149" w:type="dxa"/>
            <w:gridSpan w:val="2"/>
            <w:noWrap w:val="0"/>
            <w:vAlign w:val="center"/>
          </w:tcPr>
          <w:p w14:paraId="5E277E94">
            <w:pPr>
              <w:jc w:val="center"/>
              <w:rPr>
                <w:rFonts w:hint="eastAsia" w:ascii="宋体" w:hAnsi="宋体"/>
              </w:rPr>
            </w:pPr>
            <w:r>
              <w:rPr>
                <w:rFonts w:hint="eastAsia" w:ascii="宋体" w:hAnsi="宋体"/>
              </w:rPr>
              <w:t>主持人</w:t>
            </w:r>
          </w:p>
        </w:tc>
        <w:tc>
          <w:tcPr>
            <w:tcW w:w="1605" w:type="dxa"/>
            <w:gridSpan w:val="2"/>
            <w:noWrap w:val="0"/>
            <w:vAlign w:val="center"/>
          </w:tcPr>
          <w:p w14:paraId="5961AA44">
            <w:pPr>
              <w:jc w:val="center"/>
              <w:rPr>
                <w:rFonts w:hint="default" w:ascii="宋体" w:hAnsi="宋体" w:eastAsia="宋体"/>
                <w:lang w:val="en-US" w:eastAsia="zh-CN"/>
              </w:rPr>
            </w:pPr>
            <w:r>
              <w:rPr>
                <w:rFonts w:hint="eastAsia" w:ascii="宋体" w:hAnsi="宋体"/>
                <w:lang w:val="en-US" w:eastAsia="zh-CN"/>
              </w:rPr>
              <w:t>徐嘉莹</w:t>
            </w:r>
          </w:p>
        </w:tc>
        <w:tc>
          <w:tcPr>
            <w:tcW w:w="1048" w:type="dxa"/>
            <w:noWrap w:val="0"/>
            <w:vAlign w:val="center"/>
          </w:tcPr>
          <w:p w14:paraId="376415B1">
            <w:pPr>
              <w:jc w:val="center"/>
              <w:rPr>
                <w:rFonts w:hint="eastAsia" w:ascii="宋体" w:hAnsi="宋体"/>
              </w:rPr>
            </w:pPr>
            <w:r>
              <w:rPr>
                <w:rFonts w:hint="eastAsia" w:ascii="宋体" w:hAnsi="宋体"/>
              </w:rPr>
              <w:t>活动</w:t>
            </w:r>
          </w:p>
          <w:p w14:paraId="29CE4575">
            <w:pPr>
              <w:jc w:val="center"/>
              <w:rPr>
                <w:rFonts w:hint="eastAsia" w:ascii="宋体" w:hAnsi="宋体"/>
              </w:rPr>
            </w:pPr>
            <w:r>
              <w:rPr>
                <w:rFonts w:hint="eastAsia" w:ascii="宋体" w:hAnsi="宋体"/>
              </w:rPr>
              <w:t>形式</w:t>
            </w:r>
          </w:p>
        </w:tc>
        <w:tc>
          <w:tcPr>
            <w:tcW w:w="6071" w:type="dxa"/>
            <w:gridSpan w:val="3"/>
            <w:noWrap w:val="0"/>
            <w:vAlign w:val="center"/>
          </w:tcPr>
          <w:p w14:paraId="174AA6AA">
            <w:pPr>
              <w:jc w:val="center"/>
              <w:rPr>
                <w:rFonts w:hint="default" w:ascii="宋体" w:hAnsi="宋体" w:eastAsia="宋体"/>
                <w:lang w:val="en-US" w:eastAsia="zh-CN"/>
              </w:rPr>
            </w:pPr>
            <w:r>
              <w:rPr>
                <w:rFonts w:hint="eastAsia" w:ascii="宋体" w:hAnsi="宋体"/>
                <w:lang w:val="en-US" w:eastAsia="zh-CN"/>
              </w:rPr>
              <w:t>课例学习</w:t>
            </w:r>
          </w:p>
        </w:tc>
      </w:tr>
      <w:tr w14:paraId="2B3A5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6" w:type="dxa"/>
            <w:gridSpan w:val="3"/>
            <w:noWrap w:val="0"/>
            <w:vAlign w:val="center"/>
          </w:tcPr>
          <w:p w14:paraId="5CEA607D">
            <w:pPr>
              <w:jc w:val="center"/>
              <w:rPr>
                <w:rFonts w:hint="eastAsia" w:ascii="宋体" w:hAnsi="宋体"/>
              </w:rPr>
            </w:pPr>
            <w:r>
              <w:rPr>
                <w:rFonts w:hint="eastAsia" w:ascii="宋体" w:hAnsi="宋体"/>
              </w:rPr>
              <w:t>研究的目的</w:t>
            </w:r>
          </w:p>
          <w:p w14:paraId="23A0E8A2">
            <w:pPr>
              <w:jc w:val="center"/>
              <w:rPr>
                <w:rFonts w:hint="eastAsia" w:ascii="宋体" w:hAnsi="宋体"/>
              </w:rPr>
            </w:pPr>
            <w:r>
              <w:rPr>
                <w:rFonts w:hint="eastAsia" w:ascii="宋体" w:hAnsi="宋体"/>
              </w:rPr>
              <w:t>（范围、方法）</w:t>
            </w:r>
          </w:p>
        </w:tc>
        <w:tc>
          <w:tcPr>
            <w:tcW w:w="8027" w:type="dxa"/>
            <w:gridSpan w:val="5"/>
            <w:noWrap w:val="0"/>
            <w:vAlign w:val="center"/>
          </w:tcPr>
          <w:p w14:paraId="5E7144ED">
            <w:pPr>
              <w:numPr>
                <w:ilvl w:val="0"/>
                <w:numId w:val="0"/>
              </w:numPr>
              <w:jc w:val="both"/>
              <w:rPr>
                <w:rFonts w:hint="default" w:ascii="宋体" w:hAnsi="宋体"/>
                <w:lang w:val="en-US"/>
              </w:rPr>
            </w:pPr>
            <w:r>
              <w:rPr>
                <w:rFonts w:hint="eastAsia"/>
                <w:b w:val="0"/>
                <w:bCs w:val="0"/>
                <w:sz w:val="22"/>
                <w:szCs w:val="28"/>
                <w:vertAlign w:val="baseline"/>
                <w:lang w:val="en-US" w:eastAsia="zh-CN"/>
              </w:rPr>
              <w:t>情境-任务”框架下小学语文读写融合的实践研究策略研究</w:t>
            </w:r>
          </w:p>
        </w:tc>
      </w:tr>
      <w:tr w14:paraId="01CFC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4" w:hRule="atLeast"/>
          <w:jc w:val="center"/>
        </w:trPr>
        <w:tc>
          <w:tcPr>
            <w:tcW w:w="548" w:type="dxa"/>
            <w:noWrap w:val="0"/>
            <w:textDirection w:val="tbRlV"/>
            <w:vAlign w:val="center"/>
          </w:tcPr>
          <w:p w14:paraId="1FE70357">
            <w:pPr>
              <w:ind w:left="113" w:right="113"/>
              <w:jc w:val="center"/>
              <w:rPr>
                <w:rFonts w:hint="eastAsia" w:ascii="宋体" w:hAnsi="宋体"/>
                <w:spacing w:val="40"/>
              </w:rPr>
            </w:pPr>
            <w:r>
              <w:rPr>
                <w:rFonts w:hint="eastAsia" w:ascii="宋体" w:hAnsi="宋体"/>
                <w:spacing w:val="40"/>
              </w:rPr>
              <w:t>主要内容（不够填写另附纸）</w:t>
            </w:r>
          </w:p>
        </w:tc>
        <w:tc>
          <w:tcPr>
            <w:tcW w:w="9325" w:type="dxa"/>
            <w:gridSpan w:val="7"/>
            <w:noWrap w:val="0"/>
            <w:vAlign w:val="top"/>
          </w:tcPr>
          <w:p w14:paraId="73F1CBE4">
            <w:pPr>
              <w:numPr>
                <w:numId w:val="0"/>
              </w:numPr>
              <w:tabs>
                <w:tab w:val="left" w:pos="1771"/>
              </w:tabs>
              <w:bidi w:val="0"/>
              <w:ind w:firstLine="420" w:firstLineChars="200"/>
              <w:jc w:val="left"/>
              <w:rPr>
                <w:rFonts w:hint="eastAsia"/>
                <w:lang w:val="en-US" w:eastAsia="zh-CN"/>
              </w:rPr>
            </w:pPr>
            <w:r>
              <w:rPr>
                <w:rFonts w:hint="eastAsia"/>
                <w:lang w:val="en-US" w:eastAsia="zh-CN"/>
              </w:rPr>
              <w:t>1.常州市虹景小学的陈恬老师执教《狐假虎威》一课。陈老师教学中着力发挥学生的主体作用，注重以“趣”引入，以分角色朗读、配合动作读、表演读等手段来激发学生参与学习的热情，努力让课堂洋溢情趣，充满活力。让孩子始终处于故事情境之中，把自己当作故事中的狐狸和老虎来自读自悟，通过狐狸、老虎的语言、动作体会狐狸的狡猾，老虎的疑惑。</w:t>
            </w:r>
          </w:p>
          <w:p w14:paraId="1FE33A14">
            <w:pPr>
              <w:numPr>
                <w:numId w:val="0"/>
              </w:numPr>
              <w:tabs>
                <w:tab w:val="left" w:pos="1771"/>
              </w:tabs>
              <w:bidi w:val="0"/>
              <w:ind w:firstLine="420" w:firstLineChars="200"/>
              <w:jc w:val="left"/>
              <w:rPr>
                <w:rFonts w:hint="default"/>
                <w:lang w:val="en-US" w:eastAsia="zh-CN"/>
              </w:rPr>
            </w:pPr>
            <w:r>
              <w:rPr>
                <w:rFonts w:hint="eastAsia"/>
                <w:lang w:val="en-US" w:eastAsia="zh-CN"/>
              </w:rPr>
              <w:t>2.</w:t>
            </w:r>
            <w:r>
              <w:rPr>
                <w:rFonts w:hint="default"/>
                <w:lang w:val="en-US" w:eastAsia="zh-CN"/>
              </w:rPr>
              <w:t>常州市香梅小学的缪依老师执教《秋天的雨》一课。缪老师带领孩子们以秋雨为线索，将这篇有着浓郁抒情色彩的散文巧妙串联，看颜色、闻气味、听声音，感悟秋雨的魅力。老师带领孩子们重点欣赏了秋雨挥洒缤纷的色彩，紧扣中心词“五彩缤纷”进行教学，立足大单元的整体目标，运用多种方法理解难懂的词语；品读文本时大方交流，体会修辞手法的精妙，感受语言的魅力。</w:t>
            </w:r>
          </w:p>
          <w:p w14:paraId="0B0508FE">
            <w:pPr>
              <w:numPr>
                <w:numId w:val="0"/>
              </w:numPr>
              <w:tabs>
                <w:tab w:val="left" w:pos="1771"/>
              </w:tabs>
              <w:bidi w:val="0"/>
              <w:ind w:firstLine="420" w:firstLineChars="200"/>
              <w:jc w:val="left"/>
              <w:rPr>
                <w:rFonts w:hint="eastAsia" w:ascii="宋体" w:hAnsi="宋体"/>
                <w:lang w:val="en-US" w:eastAsia="zh-CN"/>
              </w:rPr>
            </w:pPr>
            <w:r>
              <w:rPr>
                <w:rFonts w:hint="eastAsia" w:ascii="宋体" w:hAnsi="宋体"/>
                <w:lang w:val="en-US" w:eastAsia="zh-CN"/>
              </w:rPr>
              <w:t xml:space="preserve">3.课堂展示结束后，工作室成员们从不同维度对两节课进行了评课，老师们针对课堂中的亮点和不足进行了深入的研讨和交流。值得一提的是，后一位老师还对前一位老师的评课进行了点评，大家进行了一次次的思维碰撞，不断充实自己，成就自己。    </w:t>
            </w:r>
          </w:p>
          <w:p w14:paraId="5E00D7D5">
            <w:pPr>
              <w:numPr>
                <w:numId w:val="0"/>
              </w:numPr>
              <w:tabs>
                <w:tab w:val="left" w:pos="1771"/>
              </w:tabs>
              <w:bidi w:val="0"/>
              <w:ind w:firstLine="420" w:firstLineChars="200"/>
              <w:jc w:val="left"/>
              <w:rPr>
                <w:rFonts w:hint="eastAsia" w:ascii="宋体" w:hAnsi="宋体"/>
                <w:lang w:val="en-US" w:eastAsia="zh-CN"/>
              </w:rPr>
            </w:pPr>
            <w:r>
              <w:rPr>
                <w:rFonts w:hint="eastAsia" w:ascii="宋体" w:hAnsi="宋体"/>
                <w:lang w:val="en-US" w:eastAsia="zh-CN"/>
              </w:rPr>
              <w:t xml:space="preserve">程娴婕：从“30+10”讲练一体化背景下，学习任务单的设计如何与日常作业巧妙融合这个维度进行评课。程老师从教学内容的选择、教学环节的设计进行点评，认为两位老师都舍得把课堂时间留给学生、关注到了单元语文要素和关注课后习题、练习本题目。    </w:t>
            </w:r>
          </w:p>
          <w:p w14:paraId="0A95B45D">
            <w:pPr>
              <w:numPr>
                <w:numId w:val="0"/>
              </w:numPr>
              <w:tabs>
                <w:tab w:val="left" w:pos="1771"/>
              </w:tabs>
              <w:bidi w:val="0"/>
              <w:ind w:firstLine="420" w:firstLineChars="200"/>
              <w:jc w:val="left"/>
              <w:rPr>
                <w:rFonts w:hint="eastAsia" w:ascii="宋体" w:hAnsi="宋体"/>
                <w:lang w:val="en-US" w:eastAsia="zh-CN"/>
              </w:rPr>
            </w:pPr>
            <w:r>
              <w:rPr>
                <w:rFonts w:hint="eastAsia" w:ascii="宋体" w:hAnsi="宋体"/>
                <w:lang w:val="en-US" w:eastAsia="zh-CN"/>
              </w:rPr>
              <w:t xml:space="preserve">丁雪莲：从单元语文要素的落实方面进行评课。丁老师按照课堂顺序详细拆分了两位老师每个环节的设计，对语文要素的渗透程度、对两位老师的行课流程非常熟悉，紧扣单元要素进行评课，认为都有效提升了学生的语言表达和阅读能力。    </w:t>
            </w:r>
          </w:p>
          <w:p w14:paraId="56991155">
            <w:pPr>
              <w:numPr>
                <w:numId w:val="0"/>
              </w:numPr>
              <w:tabs>
                <w:tab w:val="left" w:pos="1771"/>
              </w:tabs>
              <w:bidi w:val="0"/>
              <w:ind w:firstLine="420" w:firstLineChars="200"/>
              <w:jc w:val="left"/>
              <w:rPr>
                <w:rFonts w:hint="eastAsia" w:ascii="宋体" w:hAnsi="宋体"/>
                <w:lang w:val="en-US" w:eastAsia="zh-CN"/>
              </w:rPr>
            </w:pPr>
            <w:r>
              <w:rPr>
                <w:rFonts w:hint="eastAsia" w:ascii="宋体" w:hAnsi="宋体"/>
                <w:lang w:val="en-US" w:eastAsia="zh-CN"/>
              </w:rPr>
              <w:t xml:space="preserve">郭厚甫：就师生的课堂互动进行评课。郭老师首先解读了师生的课堂互动这一含义，接着从情感支持、课堂组织和教学支持三个维度重点对三年级课堂进行了点评，并指出教师应尊重每个孩子的个体差异，学习任务应该具有层次性，逐步提高学生的能力。    </w:t>
            </w:r>
          </w:p>
          <w:p w14:paraId="4E18C349">
            <w:pPr>
              <w:numPr>
                <w:numId w:val="0"/>
              </w:numPr>
              <w:tabs>
                <w:tab w:val="left" w:pos="1771"/>
              </w:tabs>
              <w:bidi w:val="0"/>
              <w:ind w:firstLine="420" w:firstLineChars="200"/>
              <w:jc w:val="left"/>
              <w:rPr>
                <w:rFonts w:hint="eastAsia" w:ascii="宋体" w:hAnsi="宋体"/>
                <w:lang w:val="en-US" w:eastAsia="zh-CN"/>
              </w:rPr>
            </w:pPr>
            <w:r>
              <w:rPr>
                <w:rFonts w:hint="eastAsia" w:ascii="宋体" w:hAnsi="宋体"/>
                <w:lang w:val="en-US" w:eastAsia="zh-CN"/>
              </w:rPr>
              <w:t xml:space="preserve">徐嘉莹：从第二课时对于教学内容选择的合理性，以及低段教学如何更加科学合理划分课时方面进行评课。课堂板块清晰，重点放在指导狐狸和老虎的对话上，这样可以在课堂后半段将更多时间放在故事内容创编性的演绎上，多给时间练一练、演一演。    </w:t>
            </w:r>
          </w:p>
          <w:p w14:paraId="1DDF121B">
            <w:pPr>
              <w:numPr>
                <w:numId w:val="0"/>
              </w:numPr>
              <w:tabs>
                <w:tab w:val="left" w:pos="1771"/>
              </w:tabs>
              <w:bidi w:val="0"/>
              <w:ind w:firstLine="420" w:firstLineChars="200"/>
              <w:jc w:val="left"/>
              <w:rPr>
                <w:rFonts w:hint="eastAsia" w:ascii="宋体" w:hAnsi="宋体"/>
                <w:lang w:val="en-US" w:eastAsia="zh-CN"/>
              </w:rPr>
            </w:pPr>
            <w:r>
              <w:rPr>
                <w:rFonts w:hint="eastAsia" w:ascii="宋体" w:hAnsi="宋体"/>
                <w:lang w:val="en-US" w:eastAsia="zh-CN"/>
              </w:rPr>
              <w:t xml:space="preserve">殷翁荷：从学生能力的提升方面重点评课。两位老师分别创设了真实的情境、用扎实的朗读、模仿表演紧扣教学评一体化和找准关键语句、创设语用的训练、关联学生的生活体验、营造了想象的体验提升了学生的关键能力。    </w:t>
            </w:r>
          </w:p>
          <w:p w14:paraId="542ABEA4">
            <w:pPr>
              <w:numPr>
                <w:numId w:val="0"/>
              </w:numPr>
              <w:tabs>
                <w:tab w:val="left" w:pos="1771"/>
              </w:tabs>
              <w:bidi w:val="0"/>
              <w:ind w:firstLine="420" w:firstLineChars="200"/>
              <w:jc w:val="left"/>
              <w:rPr>
                <w:rFonts w:hint="default"/>
                <w:lang w:val="en-US" w:eastAsia="zh-CN"/>
              </w:rPr>
            </w:pPr>
            <w:r>
              <w:rPr>
                <w:rFonts w:hint="eastAsia" w:ascii="宋体" w:hAnsi="宋体"/>
                <w:lang w:val="en-US" w:eastAsia="zh-CN"/>
              </w:rPr>
              <w:t>郑露华：针对30+10”高效课</w:t>
            </w:r>
            <w:bookmarkStart w:id="0" w:name="_GoBack"/>
            <w:bookmarkEnd w:id="0"/>
            <w:r>
              <w:rPr>
                <w:rFonts w:hint="eastAsia" w:ascii="宋体" w:hAnsi="宋体"/>
                <w:lang w:val="en-US" w:eastAsia="zh-CN"/>
              </w:rPr>
              <w:t xml:space="preserve">堂背景下，分角色表演这一需要给学生花时间练习的活动如何在课堂教学中有效融合和运用这一维度进行评课。老师可以抓住语言、体现神态、抓住动作，在主情境下进行教学任务的完成。课堂上更多的可以是回应大情境下的任务，另外的活动可以放在课后进行拓展。    </w:t>
            </w:r>
          </w:p>
        </w:tc>
      </w:tr>
      <w:tr w14:paraId="53E1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48" w:type="dxa"/>
            <w:noWrap w:val="0"/>
            <w:vAlign w:val="center"/>
          </w:tcPr>
          <w:p w14:paraId="261EB205">
            <w:pPr>
              <w:jc w:val="center"/>
              <w:rPr>
                <w:rFonts w:hint="eastAsia" w:ascii="宋体" w:hAnsi="宋体" w:eastAsia="宋体"/>
                <w:lang w:val="en-US" w:eastAsia="zh-CN"/>
              </w:rPr>
            </w:pPr>
            <w:r>
              <w:rPr>
                <w:rFonts w:hint="eastAsia" w:ascii="宋体" w:hAnsi="宋体"/>
                <w:lang w:val="en-US" w:eastAsia="zh-CN"/>
              </w:rPr>
              <w:t>评价</w:t>
            </w:r>
          </w:p>
        </w:tc>
        <w:tc>
          <w:tcPr>
            <w:tcW w:w="9325" w:type="dxa"/>
            <w:gridSpan w:val="7"/>
            <w:noWrap w:val="0"/>
            <w:vAlign w:val="top"/>
          </w:tcPr>
          <w:p w14:paraId="668816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lang w:val="en-US" w:eastAsia="zh-CN"/>
              </w:rPr>
            </w:pPr>
            <w:r>
              <w:rPr>
                <w:rFonts w:hint="eastAsia" w:ascii="宋体" w:hAnsi="宋体"/>
                <w:lang w:val="en-US" w:eastAsia="zh-CN"/>
              </w:rPr>
              <w:t xml:space="preserve"> 根据工作室要求，每位评课老师都对前一位老师的评课进行点评。老师们的评课都做了非常充分的准备，都从共性上对两位老师进行评课，并找准维度对一节课进行了详细的解读。有些老师甚至将自己教学同一节课环节中的过程与上课老师进行对比，加入了自己的思考和感悟，乐于研究，勤于钻研，携手并进，上下求索。</w:t>
            </w:r>
          </w:p>
        </w:tc>
      </w:tr>
    </w:tbl>
    <w:p w14:paraId="00BC9CCE">
      <w:pPr>
        <w:rPr>
          <w:rFonts w:hint="eastAsia"/>
        </w:rPr>
      </w:pPr>
      <w:r>
        <w:rPr>
          <w:rFonts w:hint="eastAsia" w:ascii="宋体" w:hAnsi="宋体"/>
          <w:sz w:val="24"/>
        </w:rPr>
        <w:t xml:space="preserve">                                           　　  　填表人</w:t>
      </w:r>
      <w:r>
        <w:rPr>
          <w:rFonts w:hint="eastAsia" w:ascii="宋体" w:hAnsi="宋体"/>
          <w:sz w:val="24"/>
          <w:u w:val="single"/>
        </w:rPr>
        <w:t xml:space="preserve">  　</w:t>
      </w:r>
      <w:r>
        <w:rPr>
          <w:rFonts w:hint="eastAsia" w:ascii="宋体" w:hAnsi="宋体"/>
          <w:sz w:val="24"/>
          <w:u w:val="single"/>
          <w:lang w:val="en-US" w:eastAsia="zh-CN"/>
        </w:rPr>
        <w:t>徐嘉莹</w:t>
      </w:r>
      <w:r>
        <w:rPr>
          <w:rFonts w:hint="eastAsia" w:ascii="宋体" w:hAnsi="宋体"/>
          <w:sz w:val="24"/>
          <w:u w:val="single"/>
        </w:rPr>
        <w:t>　　　</w:t>
      </w:r>
      <w:r>
        <w:rPr>
          <w:rFonts w:hint="eastAsia" w:ascii="仿宋_GB2312" w:eastAsia="仿宋_GB2312"/>
          <w:sz w:val="24"/>
          <w:u w:val="single"/>
        </w:rPr>
        <w:t xml:space="preserve">    　</w:t>
      </w:r>
    </w:p>
    <w:p w14:paraId="265DB05E"/>
    <w:sectPr>
      <w:footerReference r:id="rId3" w:type="default"/>
      <w:footerReference r:id="rId4" w:type="even"/>
      <w:pgSz w:w="11907" w:h="16840"/>
      <w:pgMar w:top="1418" w:right="1701" w:bottom="1418" w:left="1701" w:header="851" w:footer="1304" w:gutter="0"/>
      <w:pgNumType w:fmt="numberInDash"/>
      <w:cols w:space="720" w:num="1"/>
      <w:docGrid w:linePitch="579"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00" w:usb3="00000000" w:csb0="003E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D8E04">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- 4 -</w:t>
    </w:r>
    <w:r>
      <w:fldChar w:fldCharType="end"/>
    </w:r>
  </w:p>
  <w:p w14:paraId="4BE7DAC5">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69387">
    <w:pPr>
      <w:pStyle w:val="2"/>
      <w:framePr w:wrap="around" w:vAnchor="text" w:hAnchor="margin" w:xAlign="center" w:y="1"/>
      <w:rPr>
        <w:rStyle w:val="7"/>
      </w:rPr>
    </w:pPr>
    <w:r>
      <w:fldChar w:fldCharType="begin"/>
    </w:r>
    <w:r>
      <w:rPr>
        <w:rStyle w:val="7"/>
      </w:rPr>
      <w:instrText xml:space="preserve">PAGE  </w:instrText>
    </w:r>
    <w:r>
      <w:fldChar w:fldCharType="end"/>
    </w:r>
  </w:p>
  <w:p w14:paraId="09026343">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99E63FA"/>
    <w:rsid w:val="08D6430E"/>
    <w:rsid w:val="099E63FA"/>
    <w:rsid w:val="24920883"/>
    <w:rsid w:val="2B7D1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page number"/>
    <w:basedOn w:val="5"/>
    <w:qFormat/>
    <w:uiPriority w:val="0"/>
  </w:style>
  <w:style w:type="paragraph" w:customStyle="1" w:styleId="8">
    <w:name w:val="默认"/>
    <w:qFormat/>
    <w:uiPriority w:val="0"/>
    <w:pPr>
      <w:framePr w:wrap="around" w:vAnchor="margin" w:hAnchor="text" w:y="1"/>
    </w:pPr>
    <w:rPr>
      <w:rFonts w:hint="eastAsia" w:ascii="Arial Unicode MS" w:hAnsi="Arial Unicode MS" w:eastAsia="Arial Unicode MS" w:cs="Arial Unicode MS"/>
      <w:color w:val="000000"/>
      <w:sz w:val="22"/>
      <w:szCs w:val="22"/>
      <w:lang w:val="zh-TW" w:eastAsia="zh-TW"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1237</Words>
  <Characters>1331</Characters>
  <Lines>0</Lines>
  <Paragraphs>0</Paragraphs>
  <TotalTime>4</TotalTime>
  <ScaleCrop>false</ScaleCrop>
  <LinksUpToDate>false</LinksUpToDate>
  <CharactersWithSpaces>1515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2025-01-13T00:48:00Z</dcterms:created>
  <dc:creator>sl</dc:creator>
  <cp:lastModifiedBy>絮小惘</cp:lastModifiedBy>
  <dcterms:modified xsi:type="dcterms:W3CDTF">2025-04-22T05:52:14Z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4B189D0271E848FB97087EFE2BA59042_13</vt:lpwstr>
  </property>
  <property fmtid="{D5CDD505-2E9C-101B-9397-08002B2CF9AE}" pid="4" name="KSOTemplateDocerSaveRecord">
    <vt:lpwstr>eyJoZGlkIjoiMWJmYmVhMGQ2YWQwOTc0ZDFkYmVkZTE0NzFkNThlYzIiLCJ1c2VySWQiOiI5NTk3MDM5ODEifQ==</vt:lpwstr>
  </property>
</Properties>
</file>