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A988B9">
      <w:pPr>
        <w:jc w:val="center"/>
        <w:rPr>
          <w:rFonts w:hint="eastAsia" w:ascii="宋体" w:hAnsi="宋体"/>
          <w:b/>
          <w:bCs/>
          <w:sz w:val="36"/>
          <w:u w:val="none"/>
        </w:rPr>
      </w:pPr>
      <w:r>
        <w:rPr>
          <w:rFonts w:hint="eastAsia" w:ascii="宋体" w:hAnsi="宋体" w:eastAsia="宋体" w:cs="宋体"/>
          <w:b/>
          <w:bCs/>
          <w:kern w:val="0"/>
          <w:sz w:val="32"/>
          <w:szCs w:val="32"/>
          <w:u w:val="none"/>
          <w:lang w:val="en-US" w:eastAsia="zh-CN"/>
        </w:rPr>
        <w:t>素养导向下低年级语文非纸笔测评的实践研究</w:t>
      </w:r>
      <w:r>
        <w:rPr>
          <w:rFonts w:hint="eastAsia" w:ascii="宋体" w:hAnsi="宋体"/>
          <w:b/>
          <w:bCs/>
          <w:sz w:val="36"/>
          <w:u w:val="none"/>
        </w:rPr>
        <w:t>　　　</w:t>
      </w:r>
    </w:p>
    <w:p w14:paraId="6C66FB3E">
      <w:pPr>
        <w:jc w:val="center"/>
        <w:rPr>
          <w:rFonts w:hint="eastAsia" w:ascii="宋体" w:hAnsi="宋体"/>
          <w:b/>
          <w:bCs/>
          <w:sz w:val="32"/>
        </w:rPr>
      </w:pPr>
      <w:r>
        <w:rPr>
          <w:rFonts w:hint="eastAsia" w:ascii="宋体" w:hAnsi="宋体"/>
          <w:b/>
          <w:bCs/>
          <w:sz w:val="32"/>
        </w:rPr>
        <w:t>课题研究活动情况登记表</w:t>
      </w:r>
    </w:p>
    <w:p w14:paraId="418BCDC5">
      <w:pPr>
        <w:jc w:val="center"/>
        <w:rPr>
          <w:rFonts w:hint="eastAsia" w:ascii="仿宋_GB2312" w:eastAsia="仿宋_GB2312"/>
          <w:sz w:val="18"/>
        </w:rPr>
      </w:pPr>
    </w:p>
    <w:tbl>
      <w:tblPr>
        <w:tblStyle w:val="3"/>
        <w:tblW w:w="9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8"/>
        <w:gridCol w:w="601"/>
        <w:gridCol w:w="697"/>
        <w:gridCol w:w="908"/>
        <w:gridCol w:w="1048"/>
        <w:gridCol w:w="2407"/>
        <w:gridCol w:w="1466"/>
        <w:gridCol w:w="2198"/>
      </w:tblGrid>
      <w:tr w14:paraId="3B666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149" w:type="dxa"/>
            <w:gridSpan w:val="2"/>
            <w:noWrap w:val="0"/>
            <w:vAlign w:val="center"/>
          </w:tcPr>
          <w:p w14:paraId="21C5B45F">
            <w:pPr>
              <w:jc w:val="center"/>
              <w:rPr>
                <w:rFonts w:hint="eastAsia" w:ascii="宋体" w:hAnsi="宋体"/>
              </w:rPr>
            </w:pPr>
            <w:r>
              <w:rPr>
                <w:rFonts w:hint="eastAsia" w:ascii="宋体" w:hAnsi="宋体"/>
              </w:rPr>
              <w:t>时间</w:t>
            </w:r>
          </w:p>
        </w:tc>
        <w:tc>
          <w:tcPr>
            <w:tcW w:w="1605" w:type="dxa"/>
            <w:gridSpan w:val="2"/>
            <w:noWrap w:val="0"/>
            <w:vAlign w:val="center"/>
          </w:tcPr>
          <w:p w14:paraId="077C874C">
            <w:pPr>
              <w:jc w:val="center"/>
              <w:rPr>
                <w:rFonts w:hint="default" w:ascii="宋体" w:hAnsi="宋体" w:eastAsia="宋体"/>
                <w:lang w:val="en-US" w:eastAsia="zh-CN"/>
              </w:rPr>
            </w:pPr>
            <w:r>
              <w:rPr>
                <w:rFonts w:hint="eastAsia" w:ascii="宋体" w:hAnsi="宋体"/>
                <w:lang w:val="en-US" w:eastAsia="zh-CN"/>
              </w:rPr>
              <w:t>2025.4.17</w:t>
            </w:r>
          </w:p>
        </w:tc>
        <w:tc>
          <w:tcPr>
            <w:tcW w:w="1048" w:type="dxa"/>
            <w:noWrap w:val="0"/>
            <w:vAlign w:val="center"/>
          </w:tcPr>
          <w:p w14:paraId="50F5AD32">
            <w:pPr>
              <w:jc w:val="center"/>
              <w:rPr>
                <w:rFonts w:hint="eastAsia" w:ascii="宋体" w:hAnsi="宋体"/>
              </w:rPr>
            </w:pPr>
            <w:r>
              <w:rPr>
                <w:rFonts w:hint="eastAsia" w:ascii="宋体" w:hAnsi="宋体"/>
              </w:rPr>
              <w:t>地点</w:t>
            </w:r>
          </w:p>
        </w:tc>
        <w:tc>
          <w:tcPr>
            <w:tcW w:w="2407" w:type="dxa"/>
            <w:noWrap w:val="0"/>
            <w:vAlign w:val="center"/>
          </w:tcPr>
          <w:p w14:paraId="7352C86E">
            <w:pPr>
              <w:jc w:val="center"/>
              <w:rPr>
                <w:rFonts w:hint="default" w:ascii="宋体" w:hAnsi="宋体" w:eastAsia="宋体"/>
                <w:lang w:val="en-US" w:eastAsia="zh-CN"/>
              </w:rPr>
            </w:pPr>
            <w:r>
              <w:rPr>
                <w:rFonts w:hint="eastAsia" w:ascii="宋体" w:hAnsi="宋体"/>
                <w:lang w:val="en-US" w:eastAsia="zh-CN"/>
              </w:rPr>
              <w:t>线上</w:t>
            </w:r>
          </w:p>
        </w:tc>
        <w:tc>
          <w:tcPr>
            <w:tcW w:w="1466" w:type="dxa"/>
            <w:noWrap w:val="0"/>
            <w:vAlign w:val="center"/>
          </w:tcPr>
          <w:p w14:paraId="6EDDB764">
            <w:pPr>
              <w:jc w:val="center"/>
              <w:rPr>
                <w:rFonts w:hint="eastAsia" w:ascii="宋体" w:hAnsi="宋体"/>
              </w:rPr>
            </w:pPr>
            <w:r>
              <w:rPr>
                <w:rFonts w:hint="eastAsia" w:ascii="宋体" w:hAnsi="宋体"/>
              </w:rPr>
              <w:t>参加对象</w:t>
            </w:r>
          </w:p>
        </w:tc>
        <w:tc>
          <w:tcPr>
            <w:tcW w:w="2198" w:type="dxa"/>
            <w:noWrap w:val="0"/>
            <w:vAlign w:val="center"/>
          </w:tcPr>
          <w:p w14:paraId="35722AF0">
            <w:pPr>
              <w:jc w:val="center"/>
              <w:rPr>
                <w:rFonts w:hint="default" w:ascii="宋体" w:hAnsi="宋体" w:eastAsia="宋体"/>
                <w:lang w:val="en-US" w:eastAsia="zh-CN"/>
              </w:rPr>
            </w:pPr>
            <w:r>
              <w:rPr>
                <w:rFonts w:hint="eastAsia" w:ascii="宋体" w:hAnsi="宋体"/>
                <w:lang w:val="en-US" w:eastAsia="zh-CN"/>
              </w:rPr>
              <w:t>课题组成员</w:t>
            </w:r>
          </w:p>
        </w:tc>
      </w:tr>
      <w:tr w14:paraId="19592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149" w:type="dxa"/>
            <w:gridSpan w:val="2"/>
            <w:noWrap w:val="0"/>
            <w:vAlign w:val="center"/>
          </w:tcPr>
          <w:p w14:paraId="5E277E94">
            <w:pPr>
              <w:jc w:val="center"/>
              <w:rPr>
                <w:rFonts w:hint="eastAsia" w:ascii="宋体" w:hAnsi="宋体"/>
              </w:rPr>
            </w:pPr>
            <w:r>
              <w:rPr>
                <w:rFonts w:hint="eastAsia" w:ascii="宋体" w:hAnsi="宋体"/>
              </w:rPr>
              <w:t>主持人</w:t>
            </w:r>
          </w:p>
        </w:tc>
        <w:tc>
          <w:tcPr>
            <w:tcW w:w="1605" w:type="dxa"/>
            <w:gridSpan w:val="2"/>
            <w:noWrap w:val="0"/>
            <w:vAlign w:val="center"/>
          </w:tcPr>
          <w:p w14:paraId="5961AA44">
            <w:pPr>
              <w:jc w:val="center"/>
              <w:rPr>
                <w:rFonts w:hint="eastAsia" w:ascii="宋体" w:hAnsi="宋体" w:eastAsia="宋体"/>
                <w:lang w:val="en-US" w:eastAsia="zh-CN"/>
              </w:rPr>
            </w:pPr>
            <w:r>
              <w:rPr>
                <w:rFonts w:hint="eastAsia" w:ascii="宋体" w:hAnsi="宋体"/>
                <w:lang w:val="en-US" w:eastAsia="zh-CN"/>
              </w:rPr>
              <w:t>朱虹</w:t>
            </w:r>
          </w:p>
        </w:tc>
        <w:tc>
          <w:tcPr>
            <w:tcW w:w="1048" w:type="dxa"/>
            <w:noWrap w:val="0"/>
            <w:vAlign w:val="center"/>
          </w:tcPr>
          <w:p w14:paraId="376415B1">
            <w:pPr>
              <w:jc w:val="center"/>
              <w:rPr>
                <w:rFonts w:hint="eastAsia" w:ascii="宋体" w:hAnsi="宋体"/>
              </w:rPr>
            </w:pPr>
            <w:r>
              <w:rPr>
                <w:rFonts w:hint="eastAsia" w:ascii="宋体" w:hAnsi="宋体"/>
              </w:rPr>
              <w:t>活动</w:t>
            </w:r>
          </w:p>
          <w:p w14:paraId="29CE4575">
            <w:pPr>
              <w:jc w:val="center"/>
              <w:rPr>
                <w:rFonts w:hint="eastAsia" w:ascii="宋体" w:hAnsi="宋体"/>
              </w:rPr>
            </w:pPr>
            <w:r>
              <w:rPr>
                <w:rFonts w:hint="eastAsia" w:ascii="宋体" w:hAnsi="宋体"/>
              </w:rPr>
              <w:t>形式</w:t>
            </w:r>
          </w:p>
        </w:tc>
        <w:tc>
          <w:tcPr>
            <w:tcW w:w="6071" w:type="dxa"/>
            <w:gridSpan w:val="3"/>
            <w:noWrap w:val="0"/>
            <w:vAlign w:val="center"/>
          </w:tcPr>
          <w:p w14:paraId="174AA6AA">
            <w:pPr>
              <w:jc w:val="center"/>
              <w:rPr>
                <w:rFonts w:hint="default" w:ascii="宋体" w:hAnsi="宋体" w:eastAsia="宋体"/>
                <w:lang w:val="en-US" w:eastAsia="zh-CN"/>
              </w:rPr>
            </w:pPr>
            <w:r>
              <w:rPr>
                <w:rFonts w:hint="eastAsia" w:ascii="宋体" w:hAnsi="宋体"/>
                <w:lang w:val="en-US" w:eastAsia="zh-CN"/>
              </w:rPr>
              <w:t>文献学习</w:t>
            </w:r>
          </w:p>
        </w:tc>
      </w:tr>
      <w:tr w14:paraId="2B3A5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6" w:type="dxa"/>
            <w:gridSpan w:val="3"/>
            <w:noWrap w:val="0"/>
            <w:vAlign w:val="center"/>
          </w:tcPr>
          <w:p w14:paraId="5CEA607D">
            <w:pPr>
              <w:jc w:val="center"/>
              <w:rPr>
                <w:rFonts w:hint="eastAsia" w:ascii="宋体" w:hAnsi="宋体"/>
              </w:rPr>
            </w:pPr>
            <w:r>
              <w:rPr>
                <w:rFonts w:hint="eastAsia" w:ascii="宋体" w:hAnsi="宋体"/>
              </w:rPr>
              <w:t>研究的目的</w:t>
            </w:r>
          </w:p>
          <w:p w14:paraId="23A0E8A2">
            <w:pPr>
              <w:jc w:val="center"/>
              <w:rPr>
                <w:rFonts w:hint="eastAsia" w:ascii="宋体" w:hAnsi="宋体"/>
              </w:rPr>
            </w:pPr>
            <w:r>
              <w:rPr>
                <w:rFonts w:hint="eastAsia" w:ascii="宋体" w:hAnsi="宋体"/>
              </w:rPr>
              <w:t>（范围、方法）</w:t>
            </w:r>
          </w:p>
        </w:tc>
        <w:tc>
          <w:tcPr>
            <w:tcW w:w="8027" w:type="dxa"/>
            <w:gridSpan w:val="5"/>
            <w:noWrap w:val="0"/>
            <w:vAlign w:val="center"/>
          </w:tcPr>
          <w:p w14:paraId="5E7144ED">
            <w:pPr>
              <w:numPr>
                <w:numId w:val="0"/>
              </w:numPr>
              <w:jc w:val="both"/>
              <w:rPr>
                <w:rFonts w:hint="default" w:ascii="宋体" w:hAnsi="宋体"/>
                <w:lang w:val="en-US"/>
              </w:rPr>
            </w:pPr>
            <w:r>
              <w:rPr>
                <w:rFonts w:hint="eastAsia"/>
                <w:b w:val="0"/>
                <w:bCs w:val="0"/>
                <w:sz w:val="22"/>
                <w:szCs w:val="28"/>
                <w:vertAlign w:val="baseline"/>
                <w:lang w:val="en-US" w:eastAsia="zh-CN"/>
              </w:rPr>
              <w:t>素养导向下低年级语文非纸笔测评的文献研究</w:t>
            </w:r>
            <w:bookmarkStart w:id="0" w:name="_GoBack"/>
            <w:bookmarkEnd w:id="0"/>
          </w:p>
        </w:tc>
      </w:tr>
      <w:tr w14:paraId="01CFC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9" w:hRule="atLeast"/>
          <w:jc w:val="center"/>
        </w:trPr>
        <w:tc>
          <w:tcPr>
            <w:tcW w:w="548" w:type="dxa"/>
            <w:noWrap w:val="0"/>
            <w:textDirection w:val="tbRlV"/>
            <w:vAlign w:val="center"/>
          </w:tcPr>
          <w:p w14:paraId="1FE70357">
            <w:pPr>
              <w:ind w:left="113" w:right="113"/>
              <w:jc w:val="center"/>
              <w:rPr>
                <w:rFonts w:hint="eastAsia" w:ascii="宋体" w:hAnsi="宋体"/>
                <w:spacing w:val="40"/>
              </w:rPr>
            </w:pPr>
            <w:r>
              <w:rPr>
                <w:rFonts w:hint="eastAsia" w:ascii="宋体" w:hAnsi="宋体"/>
                <w:spacing w:val="40"/>
              </w:rPr>
              <w:t>主要内容（不够填写另附纸）</w:t>
            </w:r>
          </w:p>
        </w:tc>
        <w:tc>
          <w:tcPr>
            <w:tcW w:w="9325" w:type="dxa"/>
            <w:gridSpan w:val="7"/>
            <w:noWrap w:val="0"/>
            <w:vAlign w:val="top"/>
          </w:tcPr>
          <w:p w14:paraId="0C268A4B">
            <w:pPr>
              <w:bidi w:val="0"/>
              <w:rPr>
                <w:rFonts w:hint="default"/>
                <w:lang w:val="en-US" w:eastAsia="zh-CN"/>
              </w:rPr>
            </w:pPr>
            <w:r>
              <w:rPr>
                <w:rFonts w:hint="eastAsia"/>
                <w:lang w:val="en-US" w:eastAsia="zh-CN"/>
              </w:rPr>
              <w:t>学习的四篇文献：</w:t>
            </w:r>
          </w:p>
          <w:p w14:paraId="19DAC161">
            <w:pPr>
              <w:rPr>
                <w:rFonts w:hint="eastAsia"/>
              </w:rPr>
            </w:pPr>
            <w:r>
              <w:rPr>
                <w:rFonts w:hint="eastAsia"/>
              </w:rPr>
              <w:t xml:space="preserve">1. 漆慧勇, 左伍衡. (2023). “非纸笔测评”背景下小学低段表现性评价量表设计. 《教育信息技术》.  </w:t>
            </w:r>
          </w:p>
          <w:p w14:paraId="2EAB7DBB">
            <w:pPr>
              <w:rPr>
                <w:rFonts w:hint="eastAsia"/>
              </w:rPr>
            </w:pPr>
            <w:r>
              <w:rPr>
                <w:rFonts w:hint="eastAsia"/>
              </w:rPr>
              <w:t xml:space="preserve">2. 张玲. (2015). “非纸笔”评价的探索与思考——以低年级语文期末“游考”为例. 《教学月刊小学版》.  </w:t>
            </w:r>
          </w:p>
          <w:p w14:paraId="338113DF">
            <w:pPr>
              <w:rPr>
                <w:rFonts w:hint="eastAsia"/>
              </w:rPr>
            </w:pPr>
            <w:r>
              <w:rPr>
                <w:rFonts w:hint="eastAsia"/>
              </w:rPr>
              <w:t xml:space="preserve">3. 王林慧. (2022). 表现性评价量规在低段语文非纸笔测评中的研制与应用. 《语文建设》.  </w:t>
            </w:r>
          </w:p>
          <w:p w14:paraId="5AF37CB0">
            <w:pPr>
              <w:rPr>
                <w:rFonts w:hint="eastAsia"/>
              </w:rPr>
            </w:pPr>
            <w:r>
              <w:rPr>
                <w:rFonts w:hint="eastAsia"/>
              </w:rPr>
              <w:t xml:space="preserve">4. 刘倩. (2023). 从叠加到迭代: 素养视域下非纸笔测评刍议. 《教学管理与教育研究》.  </w:t>
            </w:r>
          </w:p>
          <w:p w14:paraId="1BCF0677">
            <w:pPr>
              <w:rPr>
                <w:rFonts w:hint="eastAsia"/>
                <w:lang w:val="en-US" w:eastAsia="zh-CN"/>
              </w:rPr>
            </w:pPr>
            <w:r>
              <w:rPr>
                <w:rFonts w:hint="eastAsia"/>
                <w:lang w:val="en-US" w:eastAsia="zh-CN"/>
              </w:rPr>
              <w:t>学习记录：</w:t>
            </w:r>
          </w:p>
          <w:p w14:paraId="29FB32CE">
            <w:pPr>
              <w:rPr>
                <w:rFonts w:hint="eastAsia"/>
              </w:rPr>
            </w:pPr>
            <w:r>
              <w:rPr>
                <w:rFonts w:hint="eastAsia"/>
              </w:rPr>
              <w:t xml:space="preserve">1. 研究背景与意义  </w:t>
            </w:r>
          </w:p>
          <w:p w14:paraId="35E94F5C">
            <w:pPr>
              <w:rPr>
                <w:rFonts w:hint="eastAsia"/>
              </w:rPr>
            </w:pPr>
            <w:r>
              <w:rPr>
                <w:rFonts w:hint="eastAsia"/>
              </w:rPr>
              <w:t xml:space="preserve">近年来，随着教育评价改革的推进，教育部明确要求小学低段取消纸笔考试，转而采用“非纸笔测评”方式。这种评价方式强调在真实情境中观察学生综合运用知识解决问题的能力，注重学生的综合素质、学习习惯、创新精神等方面的评价（漆慧勇，2023）。非纸笔测评不仅符合低年级学生的心理特点，还能弥补纸笔测评的局限性，激发学生的学习兴趣和潜能（张玲，2015）。  </w:t>
            </w:r>
          </w:p>
          <w:p w14:paraId="1F4F4B50">
            <w:pPr>
              <w:rPr>
                <w:rFonts w:hint="eastAsia"/>
              </w:rPr>
            </w:pPr>
          </w:p>
          <w:p w14:paraId="6AFFE421">
            <w:pPr>
              <w:rPr>
                <w:rFonts w:hint="eastAsia"/>
              </w:rPr>
            </w:pPr>
            <w:r>
              <w:rPr>
                <w:rFonts w:hint="eastAsia"/>
              </w:rPr>
              <w:t xml:space="preserve">2. 核心概念界定  </w:t>
            </w:r>
          </w:p>
          <w:p w14:paraId="3B93E07F">
            <w:pPr>
              <w:rPr>
                <w:rFonts w:hint="eastAsia"/>
              </w:rPr>
            </w:pPr>
            <w:r>
              <w:rPr>
                <w:rFonts w:hint="eastAsia"/>
              </w:rPr>
              <w:t xml:space="preserve">非纸笔测评：指在真实或接近真实的情境中，通过任务驱动的方式，观察学生综合运用知识解决问题的表现，从而进行综合评价（刘倩，2023）。  </w:t>
            </w:r>
          </w:p>
          <w:p w14:paraId="7FB5CF3E">
            <w:pPr>
              <w:rPr>
                <w:rFonts w:hint="eastAsia"/>
              </w:rPr>
            </w:pPr>
            <w:r>
              <w:rPr>
                <w:rFonts w:hint="eastAsia"/>
              </w:rPr>
              <w:t xml:space="preserve">表现性评价：一种以任务为载体，通过观察学生在真实情境中的行为表现，评价其知识、能力、情感态度等多维素养的评价方式（王林慧，2022）。  </w:t>
            </w:r>
          </w:p>
          <w:p w14:paraId="09275CBF">
            <w:pPr>
              <w:rPr>
                <w:rFonts w:hint="eastAsia"/>
              </w:rPr>
            </w:pPr>
          </w:p>
          <w:p w14:paraId="3446AD1A">
            <w:pPr>
              <w:rPr>
                <w:rFonts w:hint="eastAsia"/>
              </w:rPr>
            </w:pPr>
            <w:r>
              <w:rPr>
                <w:rFonts w:hint="eastAsia"/>
              </w:rPr>
              <w:t xml:space="preserve">3. 理论基础  </w:t>
            </w:r>
          </w:p>
          <w:p w14:paraId="449E9D29">
            <w:pPr>
              <w:rPr>
                <w:rFonts w:hint="eastAsia"/>
              </w:rPr>
            </w:pPr>
            <w:r>
              <w:rPr>
                <w:rFonts w:hint="eastAsia"/>
              </w:rPr>
              <w:t xml:space="preserve">多元智能理论（加德纳）：为表现性评价量表的设计提供了理论支持，强调从言语语言、数理逻辑、音乐韵律等多个维度评价学生（漆慧勇，2023）。  </w:t>
            </w:r>
          </w:p>
          <w:p w14:paraId="054FCE28">
            <w:pPr>
              <w:rPr>
                <w:rFonts w:hint="eastAsia"/>
              </w:rPr>
            </w:pPr>
            <w:r>
              <w:rPr>
                <w:rFonts w:hint="eastAsia"/>
              </w:rPr>
              <w:t xml:space="preserve">逆向设计理论：强调从评价目标出发，设计任务和量规，确保评价与教学目标的一致性（漆慧勇，2023）。  </w:t>
            </w:r>
          </w:p>
          <w:p w14:paraId="6F986C2F">
            <w:pPr>
              <w:rPr>
                <w:rFonts w:hint="eastAsia"/>
              </w:rPr>
            </w:pPr>
          </w:p>
          <w:p w14:paraId="78E9D09D">
            <w:pPr>
              <w:rPr>
                <w:rFonts w:hint="eastAsia"/>
              </w:rPr>
            </w:pPr>
            <w:r>
              <w:rPr>
                <w:rFonts w:hint="eastAsia"/>
              </w:rPr>
              <w:t xml:space="preserve"> 4. 实践策略与量表设计  </w:t>
            </w:r>
          </w:p>
          <w:p w14:paraId="436AD4A8">
            <w:pPr>
              <w:rPr>
                <w:rFonts w:hint="eastAsia"/>
              </w:rPr>
            </w:pPr>
            <w:r>
              <w:rPr>
                <w:rFonts w:hint="eastAsia"/>
              </w:rPr>
              <w:t xml:space="preserve">量表设计：  </w:t>
            </w:r>
          </w:p>
          <w:p w14:paraId="2F45C556">
            <w:pPr>
              <w:rPr>
                <w:rFonts w:hint="eastAsia"/>
              </w:rPr>
            </w:pPr>
            <w:r>
              <w:rPr>
                <w:rFonts w:hint="eastAsia"/>
              </w:rPr>
              <w:t xml:space="preserve">基于多元智能理论，将评价维度细化为可观测的行为目标，如“言语语言”维度包括倾听、语言表达、汉字书写等（漆慧勇，2023）。  </w:t>
            </w:r>
          </w:p>
          <w:p w14:paraId="6813AEAF">
            <w:pPr>
              <w:rPr>
                <w:rFonts w:hint="eastAsia"/>
              </w:rPr>
            </w:pPr>
            <w:r>
              <w:rPr>
                <w:rFonts w:hint="eastAsia"/>
              </w:rPr>
              <w:t xml:space="preserve">采用等级描述（如优秀、良好、合格）和分项记录的方式，确保评价的精准性和可操作性（王林慧，2022）。  </w:t>
            </w:r>
          </w:p>
          <w:p w14:paraId="737D5077">
            <w:pPr>
              <w:rPr>
                <w:rFonts w:hint="eastAsia"/>
              </w:rPr>
            </w:pPr>
            <w:r>
              <w:rPr>
                <w:rFonts w:hint="eastAsia"/>
              </w:rPr>
              <w:t xml:space="preserve">任务设计：  </w:t>
            </w:r>
          </w:p>
          <w:p w14:paraId="2ABEE865">
            <w:pPr>
              <w:rPr>
                <w:rFonts w:hint="eastAsia"/>
              </w:rPr>
            </w:pPr>
            <w:r>
              <w:rPr>
                <w:rFonts w:hint="eastAsia"/>
              </w:rPr>
              <w:t xml:space="preserve">  - 结合真实情境（如亚运会主题），设计角色扮演、游园活动等任务，增强测评的趣味性和真实性（漆慧勇，2023）。  </w:t>
            </w:r>
          </w:p>
          <w:p w14:paraId="3C4FFCBE">
            <w:pPr>
              <w:rPr>
                <w:rFonts w:hint="eastAsia"/>
              </w:rPr>
            </w:pPr>
            <w:r>
              <w:rPr>
                <w:rFonts w:hint="eastAsia"/>
              </w:rPr>
              <w:t xml:space="preserve">  - 任务类型多样化，如“我是亚运播报员”“我是小小歌唱家”等，覆盖多学科能力（张玲，2015）。  </w:t>
            </w:r>
          </w:p>
          <w:p w14:paraId="7D621088">
            <w:pPr>
              <w:rPr>
                <w:rFonts w:hint="eastAsia"/>
              </w:rPr>
            </w:pPr>
          </w:p>
          <w:p w14:paraId="7F85BC02">
            <w:pPr>
              <w:rPr>
                <w:rFonts w:hint="eastAsia"/>
                <w:lang w:val="en-US" w:eastAsia="zh-CN"/>
              </w:rPr>
            </w:pPr>
            <w:r>
              <w:rPr>
                <w:rFonts w:hint="eastAsia"/>
              </w:rPr>
              <w:t xml:space="preserve"> </w:t>
            </w:r>
          </w:p>
          <w:p w14:paraId="60213DE8">
            <w:pPr>
              <w:rPr>
                <w:rFonts w:hint="eastAsia"/>
                <w:lang w:val="en-US" w:eastAsia="zh-CN"/>
              </w:rPr>
            </w:pPr>
          </w:p>
          <w:p w14:paraId="73F1CBE4">
            <w:pPr>
              <w:tabs>
                <w:tab w:val="left" w:pos="1771"/>
              </w:tabs>
              <w:bidi w:val="0"/>
              <w:jc w:val="left"/>
              <w:rPr>
                <w:rFonts w:hint="default"/>
                <w:lang w:val="en-US" w:eastAsia="zh-CN"/>
              </w:rPr>
            </w:pPr>
          </w:p>
        </w:tc>
      </w:tr>
      <w:tr w14:paraId="53E15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548" w:type="dxa"/>
            <w:noWrap w:val="0"/>
            <w:vAlign w:val="center"/>
          </w:tcPr>
          <w:p w14:paraId="261EB205">
            <w:pPr>
              <w:jc w:val="center"/>
              <w:rPr>
                <w:rFonts w:hint="eastAsia" w:ascii="宋体" w:hAnsi="宋体" w:eastAsia="宋体"/>
                <w:lang w:val="en-US" w:eastAsia="zh-CN"/>
              </w:rPr>
            </w:pPr>
            <w:r>
              <w:rPr>
                <w:rFonts w:hint="eastAsia" w:ascii="宋体" w:hAnsi="宋体"/>
                <w:lang w:val="en-US" w:eastAsia="zh-CN"/>
              </w:rPr>
              <w:t>评价</w:t>
            </w:r>
          </w:p>
        </w:tc>
        <w:tc>
          <w:tcPr>
            <w:tcW w:w="9325" w:type="dxa"/>
            <w:gridSpan w:val="7"/>
            <w:noWrap w:val="0"/>
            <w:vAlign w:val="top"/>
          </w:tcPr>
          <w:p w14:paraId="04826286">
            <w:pPr>
              <w:numPr>
                <w:ilvl w:val="0"/>
                <w:numId w:val="1"/>
              </w:numPr>
              <w:ind w:left="420" w:leftChars="0" w:hanging="420" w:firstLineChars="0"/>
              <w:rPr>
                <w:rFonts w:hint="eastAsia"/>
              </w:rPr>
            </w:pPr>
            <w:r>
              <w:rPr>
                <w:rFonts w:hint="eastAsia"/>
              </w:rPr>
              <w:t xml:space="preserve">实施效果与注意事项  </w:t>
            </w:r>
          </w:p>
          <w:p w14:paraId="48B164AF">
            <w:pPr>
              <w:rPr>
                <w:rFonts w:hint="eastAsia"/>
              </w:rPr>
            </w:pPr>
            <w:r>
              <w:rPr>
                <w:rFonts w:hint="eastAsia"/>
              </w:rPr>
              <w:t xml:space="preserve">效果：  </w:t>
            </w:r>
          </w:p>
          <w:p w14:paraId="2B10142F">
            <w:pPr>
              <w:rPr>
                <w:rFonts w:hint="eastAsia"/>
              </w:rPr>
            </w:pPr>
            <w:r>
              <w:rPr>
                <w:rFonts w:hint="eastAsia"/>
              </w:rPr>
              <w:t xml:space="preserve">  - 非纸笔测评显著提升了学生的参与度和自我效能感，促进了综合素质的发展（王林慧，2022）。  </w:t>
            </w:r>
          </w:p>
          <w:p w14:paraId="17F3D102">
            <w:pPr>
              <w:rPr>
                <w:rFonts w:hint="eastAsia"/>
              </w:rPr>
            </w:pPr>
            <w:r>
              <w:rPr>
                <w:rFonts w:hint="eastAsia"/>
              </w:rPr>
              <w:t xml:space="preserve">  - 通过雷达图、学生画像等形式呈现评价结果，帮助学生明确发展方向（漆慧勇，2023）。  </w:t>
            </w:r>
          </w:p>
          <w:p w14:paraId="43BA1C2B">
            <w:pPr>
              <w:rPr>
                <w:rFonts w:hint="eastAsia"/>
              </w:rPr>
            </w:pPr>
            <w:r>
              <w:rPr>
                <w:rFonts w:hint="eastAsia"/>
              </w:rPr>
              <w:t xml:space="preserve">注意事项：  </w:t>
            </w:r>
          </w:p>
          <w:p w14:paraId="2E805B64">
            <w:pPr>
              <w:rPr>
                <w:rFonts w:hint="eastAsia"/>
              </w:rPr>
            </w:pPr>
            <w:r>
              <w:rPr>
                <w:rFonts w:hint="eastAsia"/>
              </w:rPr>
              <w:t xml:space="preserve">  - 确保任务情境的真实性和评价维度的科学性（刘倩，2023）。  </w:t>
            </w:r>
          </w:p>
          <w:p w14:paraId="748D414B">
            <w:pPr>
              <w:rPr>
                <w:rFonts w:hint="eastAsia"/>
              </w:rPr>
            </w:pPr>
            <w:r>
              <w:rPr>
                <w:rFonts w:hint="eastAsia"/>
              </w:rPr>
              <w:t xml:space="preserve">  - 注重评价结果的反馈与教学改进，形成“评价—反馈—改进”的闭环（王林慧，2022）。  </w:t>
            </w:r>
          </w:p>
          <w:p w14:paraId="31E594DD">
            <w:pPr>
              <w:rPr>
                <w:rFonts w:hint="eastAsia"/>
              </w:rPr>
            </w:pPr>
          </w:p>
          <w:p w14:paraId="017FABB9">
            <w:pPr>
              <w:numPr>
                <w:ilvl w:val="0"/>
                <w:numId w:val="1"/>
              </w:numPr>
              <w:ind w:left="420" w:leftChars="0" w:hanging="420" w:firstLineChars="0"/>
              <w:rPr>
                <w:rFonts w:hint="eastAsia"/>
              </w:rPr>
            </w:pPr>
            <w:r>
              <w:rPr>
                <w:rFonts w:hint="eastAsia"/>
              </w:rPr>
              <w:t xml:space="preserve">存在问题与未来方向  </w:t>
            </w:r>
          </w:p>
          <w:p w14:paraId="6D095452">
            <w:pPr>
              <w:rPr>
                <w:rFonts w:hint="eastAsia"/>
              </w:rPr>
            </w:pPr>
            <w:r>
              <w:rPr>
                <w:rFonts w:hint="eastAsia"/>
              </w:rPr>
              <w:t xml:space="preserve">- 问题：  </w:t>
            </w:r>
          </w:p>
          <w:p w14:paraId="35837AA6">
            <w:pPr>
              <w:rPr>
                <w:rFonts w:hint="eastAsia"/>
              </w:rPr>
            </w:pPr>
            <w:r>
              <w:rPr>
                <w:rFonts w:hint="eastAsia"/>
              </w:rPr>
              <w:t xml:space="preserve">  - 部分学校的测评目标不明确，任务设计泛化，与学习目标关联不足（刘倩，2023）。  </w:t>
            </w:r>
          </w:p>
          <w:p w14:paraId="4C2C74B1">
            <w:pPr>
              <w:rPr>
                <w:rFonts w:hint="eastAsia"/>
              </w:rPr>
            </w:pPr>
            <w:r>
              <w:rPr>
                <w:rFonts w:hint="eastAsia"/>
              </w:rPr>
              <w:t xml:space="preserve">  - 评价量表的信效度需进一步验证（漆慧勇，2023）。  </w:t>
            </w:r>
          </w:p>
          <w:p w14:paraId="358671F2">
            <w:pPr>
              <w:rPr>
                <w:rFonts w:hint="eastAsia"/>
              </w:rPr>
            </w:pPr>
            <w:r>
              <w:rPr>
                <w:rFonts w:hint="eastAsia"/>
              </w:rPr>
              <w:t xml:space="preserve">- 未来方向：  </w:t>
            </w:r>
          </w:p>
          <w:p w14:paraId="11BE3CF0">
            <w:pPr>
              <w:rPr>
                <w:rFonts w:hint="eastAsia"/>
              </w:rPr>
            </w:pPr>
            <w:r>
              <w:rPr>
                <w:rFonts w:hint="eastAsia"/>
              </w:rPr>
              <w:t xml:space="preserve">  - 探索技术赋能的评价方式，如利用大数据分析学生成长轨迹（王林慧，2022）。  </w:t>
            </w:r>
          </w:p>
          <w:p w14:paraId="16521864">
            <w:pPr>
              <w:rPr>
                <w:rFonts w:hint="eastAsia"/>
                <w:lang w:val="en-US" w:eastAsia="zh-CN"/>
              </w:rPr>
            </w:pPr>
            <w:r>
              <w:rPr>
                <w:rFonts w:hint="eastAsia"/>
              </w:rPr>
              <w:t xml:space="preserve">  - 加强跨学科整合，设计更具综合性的测评任务（刘倩，2023）。  </w:t>
            </w:r>
          </w:p>
          <w:p w14:paraId="668816F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lang w:val="en-US" w:eastAsia="zh-CN"/>
              </w:rPr>
            </w:pPr>
          </w:p>
        </w:tc>
      </w:tr>
    </w:tbl>
    <w:p w14:paraId="00BC9CCE">
      <w:pPr>
        <w:rPr>
          <w:rFonts w:hint="eastAsia"/>
        </w:rPr>
      </w:pPr>
      <w:r>
        <w:rPr>
          <w:rFonts w:hint="eastAsia" w:ascii="宋体" w:hAnsi="宋体"/>
          <w:sz w:val="24"/>
        </w:rPr>
        <w:t xml:space="preserve">                                           　　  　填表人</w:t>
      </w:r>
      <w:r>
        <w:rPr>
          <w:rFonts w:hint="eastAsia" w:ascii="宋体" w:hAnsi="宋体"/>
          <w:sz w:val="24"/>
          <w:u w:val="single"/>
        </w:rPr>
        <w:t xml:space="preserve">  　</w:t>
      </w:r>
      <w:r>
        <w:rPr>
          <w:rFonts w:hint="eastAsia" w:ascii="宋体" w:hAnsi="宋体"/>
          <w:sz w:val="24"/>
          <w:u w:val="single"/>
          <w:lang w:val="en-US" w:eastAsia="zh-CN"/>
        </w:rPr>
        <w:t>朱虹</w:t>
      </w:r>
      <w:r>
        <w:rPr>
          <w:rFonts w:hint="eastAsia" w:ascii="宋体" w:hAnsi="宋体"/>
          <w:sz w:val="24"/>
          <w:u w:val="single"/>
        </w:rPr>
        <w:t>　　　</w:t>
      </w:r>
      <w:r>
        <w:rPr>
          <w:rFonts w:hint="eastAsia" w:ascii="仿宋_GB2312" w:eastAsia="仿宋_GB2312"/>
          <w:sz w:val="24"/>
          <w:u w:val="single"/>
        </w:rPr>
        <w:t xml:space="preserve">    　</w:t>
      </w:r>
    </w:p>
    <w:p w14:paraId="265DB05E"/>
    <w:sectPr>
      <w:footerReference r:id="rId3" w:type="default"/>
      <w:footerReference r:id="rId4" w:type="even"/>
      <w:pgSz w:w="11907" w:h="16840"/>
      <w:pgMar w:top="1418" w:right="1701" w:bottom="1418" w:left="1701" w:header="851" w:footer="1304" w:gutter="0"/>
      <w:pgNumType w:fmt="numberInDash"/>
      <w:cols w:space="720" w:num="1"/>
      <w:docGrid w:linePitch="579"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00" w:usb3="00000000" w:csb0="003E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D8E04">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- 4 -</w:t>
    </w:r>
    <w:r>
      <w:fldChar w:fldCharType="end"/>
    </w:r>
  </w:p>
  <w:p w14:paraId="4BE7DAC5">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69387">
    <w:pPr>
      <w:pStyle w:val="2"/>
      <w:framePr w:wrap="around" w:vAnchor="text" w:hAnchor="margin" w:xAlign="center" w:y="1"/>
      <w:rPr>
        <w:rStyle w:val="7"/>
      </w:rPr>
    </w:pPr>
    <w:r>
      <w:fldChar w:fldCharType="begin"/>
    </w:r>
    <w:r>
      <w:rPr>
        <w:rStyle w:val="7"/>
      </w:rPr>
      <w:instrText xml:space="preserve">PAGE  </w:instrText>
    </w:r>
    <w:r>
      <w:fldChar w:fldCharType="end"/>
    </w:r>
  </w:p>
  <w:p w14:paraId="09026343">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A376BF"/>
    <w:multiLevelType w:val="singleLevel"/>
    <w:tmpl w:val="A7A376BF"/>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99E63FA"/>
    <w:rsid w:val="08D6430E"/>
    <w:rsid w:val="099E63FA"/>
    <w:rsid w:val="2B7D1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 w:type="character" w:styleId="7">
    <w:name w:val="page number"/>
    <w:basedOn w:val="5"/>
    <w:qFormat/>
    <w:uiPriority w:val="0"/>
  </w:style>
  <w:style w:type="paragraph" w:customStyle="1" w:styleId="8">
    <w:name w:val="默认"/>
    <w:qFormat/>
    <w:uiPriority w:val="0"/>
    <w:pPr>
      <w:framePr w:wrap="around" w:vAnchor="margin" w:hAnchor="text" w:y="1"/>
    </w:pPr>
    <w:rPr>
      <w:rFonts w:hint="eastAsia" w:ascii="Arial Unicode MS" w:hAnsi="Arial Unicode MS" w:eastAsia="Arial Unicode MS" w:cs="Arial Unicode MS"/>
      <w:color w:val="000000"/>
      <w:sz w:val="22"/>
      <w:szCs w:val="22"/>
      <w:lang w:val="zh-TW" w:eastAsia="zh-TW"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1821</Words>
  <Characters>1849</Characters>
  <Lines>0</Lines>
  <Paragraphs>0</Paragraphs>
  <TotalTime>2</TotalTime>
  <ScaleCrop>false</ScaleCrop>
  <LinksUpToDate>false</LinksUpToDate>
  <CharactersWithSpaces>1923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2025-01-13T00:48:00Z</dcterms:created>
  <dc:creator>sl</dc:creator>
  <cp:lastModifiedBy>sl</cp:lastModifiedBy>
  <dcterms:modified xsi:type="dcterms:W3CDTF">2025-04-18T09:51:10Z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4B189D0271E848FB97087EFE2BA59042_13</vt:lpwstr>
  </property>
  <property fmtid="{D5CDD505-2E9C-101B-9397-08002B2CF9AE}" pid="4" name="KSOTemplateDocerSaveRecord">
    <vt:lpwstr>eyJoZGlkIjoiMzEwNTM5NzYwMDRjMzkwZTVkZjY2ODkwMGIxNGU0OTUiLCJ1c2VySWQiOiIyMzUxMTI5NDAifQ==</vt:lpwstr>
  </property>
</Properties>
</file>