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黑体" w:eastAsia="黑体" w:cs="Times New Roman"/>
          <w:sz w:val="32"/>
          <w:szCs w:val="32"/>
        </w:rPr>
      </w:pPr>
      <w:bookmarkStart w:id="1" w:name="_GoBack"/>
      <w:bookmarkEnd w:id="1"/>
      <w:r>
        <w:rPr>
          <w:rFonts w:hint="eastAsia" w:ascii="黑体" w:hAnsi="黑体" w:eastAsia="黑体" w:cs="黑体"/>
          <w:sz w:val="32"/>
          <w:szCs w:val="32"/>
        </w:rPr>
        <w:t>附件</w:t>
      </w:r>
      <w:r>
        <w:rPr>
          <w:rFonts w:ascii="黑体" w:hAnsi="黑体" w:eastAsia="黑体" w:cs="黑体"/>
          <w:sz w:val="32"/>
          <w:szCs w:val="32"/>
        </w:rPr>
        <w:t>7</w:t>
      </w:r>
    </w:p>
    <w:p>
      <w:pPr>
        <w:spacing w:after="0" w:line="700" w:lineRule="exact"/>
        <w:jc w:val="center"/>
        <w:rPr>
          <w:rFonts w:ascii="方正小标宋简体" w:hAnsi="宋体" w:eastAsia="方正小标宋简体" w:cs="Times New Roman"/>
          <w:sz w:val="44"/>
          <w:szCs w:val="44"/>
        </w:rPr>
      </w:pPr>
      <w:r>
        <w:rPr>
          <w:rFonts w:hint="eastAsia" w:ascii="方正小标宋简体" w:hAnsi="Times New Roman" w:eastAsia="方正小标宋简体" w:cs="方正小标宋简体"/>
          <w:sz w:val="44"/>
          <w:szCs w:val="44"/>
        </w:rPr>
        <w:t>常州市高层次教育人才年度</w:t>
      </w:r>
      <w:r>
        <w:rPr>
          <w:rFonts w:hint="eastAsia" w:ascii="方正小标宋简体" w:hAnsi="宋体" w:eastAsia="方正小标宋简体" w:cs="方正小标宋简体"/>
          <w:sz w:val="44"/>
          <w:szCs w:val="44"/>
        </w:rPr>
        <w:t>工作质效调研细则</w:t>
      </w:r>
    </w:p>
    <w:p>
      <w:pPr>
        <w:spacing w:after="0" w:line="400" w:lineRule="exact"/>
        <w:jc w:val="center"/>
        <w:rPr>
          <w:rFonts w:ascii="仿宋_GB2312" w:hAnsi="Times New Roman" w:eastAsia="仿宋_GB2312" w:cs="Times New Roman"/>
          <w:sz w:val="30"/>
          <w:szCs w:val="30"/>
        </w:rPr>
      </w:pP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第一章</w:t>
      </w:r>
      <w:r>
        <w:rPr>
          <w:rFonts w:ascii="黑体" w:hAnsi="Times New Roman" w:eastAsia="黑体" w:cs="黑体"/>
          <w:sz w:val="32"/>
          <w:szCs w:val="32"/>
        </w:rPr>
        <w:t xml:space="preserve">  </w:t>
      </w:r>
      <w:r>
        <w:rPr>
          <w:rFonts w:hint="eastAsia" w:ascii="黑体" w:hAnsi="Times New Roman" w:eastAsia="黑体" w:cs="黑体"/>
          <w:sz w:val="32"/>
          <w:szCs w:val="32"/>
        </w:rPr>
        <w:t>总则</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第一条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为进一步强化高层次教育人才规范化管理，不断完善调研激励机制，充分发挥其在教书育人、科研引领、教育管理、名师带培等方面的示范辐射作用，促进我市师资队伍整体素质的提高。根据《常州市教育英才队伍培养工程实施意见》（常教发〔</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号），特制定本调研细则。</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第二章</w:t>
      </w:r>
      <w:r>
        <w:rPr>
          <w:rFonts w:ascii="黑体" w:hAnsi="Times New Roman" w:eastAsia="黑体" w:cs="黑体"/>
          <w:sz w:val="32"/>
          <w:szCs w:val="32"/>
        </w:rPr>
        <w:t xml:space="preserve">  </w:t>
      </w:r>
      <w:r>
        <w:rPr>
          <w:rFonts w:hint="eastAsia" w:ascii="黑体" w:hAnsi="Times New Roman" w:eastAsia="黑体" w:cs="黑体"/>
          <w:sz w:val="32"/>
          <w:szCs w:val="32"/>
        </w:rPr>
        <w:t>调研原则</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第二条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常州市高层次教育人才工作质效调研按年度进行，</w:t>
      </w:r>
      <w:r>
        <w:rPr>
          <w:rFonts w:hint="eastAsia" w:ascii="仿宋_GB2312" w:eastAsia="仿宋_GB2312" w:cs="仿宋_GB2312"/>
          <w:sz w:val="32"/>
          <w:szCs w:val="32"/>
        </w:rPr>
        <w:t>采取平时调研与年终集中调研相结合的方式。</w:t>
      </w:r>
      <w:r>
        <w:rPr>
          <w:rFonts w:hint="eastAsia" w:ascii="仿宋_GB2312" w:hAnsi="Times New Roman" w:eastAsia="仿宋_GB2312" w:cs="仿宋_GB2312"/>
          <w:sz w:val="32"/>
          <w:szCs w:val="32"/>
        </w:rPr>
        <w:t>调研坚持客观公正，公平合理，注重实绩的原则。</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第三章</w:t>
      </w:r>
      <w:r>
        <w:rPr>
          <w:rFonts w:ascii="黑体" w:hAnsi="Times New Roman" w:eastAsia="黑体" w:cs="黑体"/>
          <w:sz w:val="32"/>
          <w:szCs w:val="32"/>
        </w:rPr>
        <w:t xml:space="preserve">  </w:t>
      </w:r>
      <w:r>
        <w:rPr>
          <w:rFonts w:hint="eastAsia" w:ascii="黑体" w:hAnsi="Times New Roman" w:eastAsia="黑体" w:cs="黑体"/>
          <w:sz w:val="32"/>
          <w:szCs w:val="32"/>
        </w:rPr>
        <w:t>调研对象</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第三条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常州市高层次教育人才工作质效调研对象为常州市在职在编的下列人员：国家“万人计划”教学名师、“江苏省人民教育家培养工程”培养对象、正高级教师、江苏省特级教师、江苏省教学名师等。</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第四章</w:t>
      </w:r>
      <w:r>
        <w:rPr>
          <w:rFonts w:ascii="黑体" w:hAnsi="Times New Roman" w:eastAsia="黑体" w:cs="黑体"/>
          <w:sz w:val="32"/>
          <w:szCs w:val="32"/>
        </w:rPr>
        <w:t xml:space="preserve">  </w:t>
      </w:r>
      <w:r>
        <w:rPr>
          <w:rFonts w:hint="eastAsia" w:ascii="黑体" w:hAnsi="Times New Roman" w:eastAsia="黑体" w:cs="黑体"/>
          <w:sz w:val="32"/>
          <w:szCs w:val="32"/>
        </w:rPr>
        <w:t>调研要求</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第四条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常州市高层次教育人才工作质效调研要求如下：</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工作业绩突出，是师德表率、育人模范、教学专家，在本地区有较大的影响。</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每年在市级及以上区域开设研究课、观摩课或专题讲座不少于</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次。</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每年至少撰写</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篇具有较高水平的专业论文、经验总结或科研报告，并在省级及以上刊物发表；或出版专著；或参编经全国中小学教材委员会审定通过的教科书。</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积极参与课题研究，主持市级或参与省级及以上教科研课题，并取得阶段性科研成果；或参与省市级课程基地建设、品格提升工程、前瞻性发展项目等研究，并取得阶段性成果；或取得国家级、省市级教学成果奖。</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开展“名师带培”工作，指导常州市“五级阶梯”教师或常州市青年教师英才不少于</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人。所带培教师每人每学年完成区级及以上研究课或讲座</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节（次）以上；每年至少</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篇论文在省级及以上刊物发表、或获得市级论文一等奖、省级论文二等奖以上；参加市级及以上课题研究。</w:t>
      </w:r>
    </w:p>
    <w:p>
      <w:pPr>
        <w:snapToGrid w:val="0"/>
        <w:spacing w:after="0"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关心和支持本校、本地区的教育教学工作，积极为教育教学改革和教育事业发展献计献策。指导学科课程整体建设，形成学科课程方案，或帮助学科课程基地建设，或帮助乡村学校、薄弱学校课程建设和教师队伍建设。</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第五条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未达成调研要求</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的，年度工作质效调研结果为不合格。其他调研要求达成方面有欠缺的，视情扣减工作专项经费。</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第六条</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调研当年或次年</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月（含）前到龄退休的、调研当年在援疆援陕援青的，调研要求</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方面可适当放宽。</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第五章</w:t>
      </w:r>
      <w:r>
        <w:rPr>
          <w:rFonts w:ascii="黑体" w:hAnsi="Times New Roman" w:eastAsia="黑体" w:cs="黑体"/>
          <w:sz w:val="32"/>
          <w:szCs w:val="32"/>
        </w:rPr>
        <w:t xml:space="preserve">  </w:t>
      </w:r>
      <w:r>
        <w:rPr>
          <w:rFonts w:hint="eastAsia" w:ascii="黑体" w:hAnsi="Times New Roman" w:eastAsia="黑体" w:cs="黑体"/>
          <w:sz w:val="32"/>
          <w:szCs w:val="32"/>
        </w:rPr>
        <w:t>调研办法</w:t>
      </w:r>
    </w:p>
    <w:p>
      <w:pPr>
        <w:snapToGrid w:val="0"/>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采取平时调研与年终调研相结合的方式，重点加强对高层次教育人才业绩评价的过程化管理。以业绩调研档案、作用发挥情况作为年度集中调研的主要依据。</w:t>
      </w:r>
    </w:p>
    <w:p>
      <w:pPr>
        <w:snapToGrid w:val="0"/>
        <w:spacing w:after="0"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每年市教育局组织专家对调研对象进行调研，并及时公布调研结果。</w:t>
      </w:r>
      <w:r>
        <w:rPr>
          <w:rFonts w:hint="eastAsia" w:ascii="仿宋_GB2312" w:hAnsi="Times New Roman" w:eastAsia="仿宋_GB2312" w:cs="仿宋_GB2312"/>
          <w:sz w:val="32"/>
          <w:szCs w:val="32"/>
        </w:rPr>
        <w:t>对无特殊原因未参加调研，或调研不合格的，不予发放调研经费。</w:t>
      </w:r>
    </w:p>
    <w:p>
      <w:pPr>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违反《中小学教师职业道德规范》，实行“一票否决”。本学年内离岗（含病、事假）累计半年以上的、年度考核不合格、受党政纪处分，不得申报参加本学年度调研。违背党的教育方针和有关政策规定，学校被县级以上教育行政部门通报批评，学校主要领导及分管领导</w:t>
      </w:r>
      <w:r>
        <w:rPr>
          <w:rFonts w:ascii="仿宋_GB2312" w:eastAsia="仿宋_GB2312" w:cs="仿宋_GB2312"/>
          <w:sz w:val="32"/>
          <w:szCs w:val="32"/>
        </w:rPr>
        <w:t>2</w:t>
      </w:r>
      <w:r>
        <w:rPr>
          <w:rFonts w:hint="eastAsia" w:ascii="仿宋_GB2312" w:eastAsia="仿宋_GB2312" w:cs="仿宋_GB2312"/>
          <w:sz w:val="32"/>
          <w:szCs w:val="32"/>
        </w:rPr>
        <w:t>年内不得申报参加调研。凡在申报调研工作中，弄虚作假，一经发现，</w:t>
      </w:r>
      <w:r>
        <w:rPr>
          <w:rFonts w:ascii="仿宋_GB2312" w:eastAsia="仿宋_GB2312" w:cs="仿宋_GB2312"/>
          <w:sz w:val="32"/>
          <w:szCs w:val="32"/>
        </w:rPr>
        <w:t>3</w:t>
      </w:r>
      <w:r>
        <w:rPr>
          <w:rFonts w:hint="eastAsia" w:ascii="仿宋_GB2312" w:eastAsia="仿宋_GB2312" w:cs="仿宋_GB2312"/>
          <w:sz w:val="32"/>
          <w:szCs w:val="32"/>
        </w:rPr>
        <w:t>年内不得参与调研，并根据情节追究当事人及有关责任人的责任。</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第六章</w:t>
      </w:r>
      <w:r>
        <w:rPr>
          <w:rFonts w:ascii="黑体" w:hAnsi="Times New Roman" w:eastAsia="黑体" w:cs="黑体"/>
          <w:sz w:val="32"/>
          <w:szCs w:val="32"/>
        </w:rPr>
        <w:t xml:space="preserve">  </w:t>
      </w:r>
      <w:r>
        <w:rPr>
          <w:rFonts w:hint="eastAsia" w:ascii="黑体" w:hAnsi="Times New Roman" w:eastAsia="黑体" w:cs="黑体"/>
          <w:sz w:val="32"/>
          <w:szCs w:val="32"/>
        </w:rPr>
        <w:t>经费标准</w:t>
      </w:r>
    </w:p>
    <w:p>
      <w:pPr>
        <w:spacing w:after="0" w:line="560" w:lineRule="exact"/>
        <w:ind w:firstLine="640" w:firstLineChars="200"/>
        <w:rPr>
          <w:rFonts w:ascii="仿宋_GB2312" w:hAnsi="Times New Roman" w:eastAsia="仿宋_GB2312" w:cs="Times New Roman"/>
          <w:sz w:val="32"/>
          <w:szCs w:val="32"/>
        </w:rPr>
      </w:pPr>
      <w:r>
        <w:rPr>
          <w:rFonts w:hint="eastAsia" w:ascii="仿宋_GB2312" w:eastAsia="仿宋_GB2312" w:cs="仿宋_GB2312"/>
          <w:sz w:val="32"/>
          <w:szCs w:val="32"/>
        </w:rPr>
        <w:t>第十条</w:t>
      </w:r>
      <w:r>
        <w:rPr>
          <w:rFonts w:ascii="仿宋_GB2312" w:eastAsia="仿宋_GB2312" w:cs="仿宋_GB2312"/>
          <w:sz w:val="32"/>
          <w:szCs w:val="32"/>
        </w:rPr>
        <w:t xml:space="preserve">  </w:t>
      </w:r>
      <w:r>
        <w:rPr>
          <w:rFonts w:hint="eastAsia" w:ascii="仿宋_GB2312" w:hAnsi="Times New Roman" w:eastAsia="仿宋_GB2312" w:cs="仿宋_GB2312"/>
          <w:sz w:val="32"/>
          <w:szCs w:val="32"/>
        </w:rPr>
        <w:t>常州市</w:t>
      </w:r>
      <w:bookmarkStart w:id="0" w:name="OLE_LINK7"/>
      <w:r>
        <w:rPr>
          <w:rFonts w:hint="eastAsia" w:ascii="仿宋_GB2312" w:hAnsi="Times New Roman" w:eastAsia="仿宋_GB2312" w:cs="仿宋_GB2312"/>
          <w:sz w:val="32"/>
          <w:szCs w:val="32"/>
        </w:rPr>
        <w:t>高层次教育人才每人每年给予工作</w:t>
      </w:r>
      <w:r>
        <w:rPr>
          <w:rFonts w:hint="eastAsia" w:ascii="仿宋_GB2312" w:eastAsia="仿宋_GB2312" w:cs="仿宋_GB2312"/>
          <w:sz w:val="32"/>
          <w:szCs w:val="32"/>
        </w:rPr>
        <w:t>专项经费</w:t>
      </w:r>
      <w:r>
        <w:rPr>
          <w:rFonts w:ascii="仿宋_GB2312" w:eastAsia="仿宋_GB2312" w:cs="仿宋_GB2312"/>
          <w:sz w:val="32"/>
          <w:szCs w:val="32"/>
        </w:rPr>
        <w:t>5</w:t>
      </w:r>
      <w:r>
        <w:rPr>
          <w:rFonts w:hint="eastAsia" w:ascii="仿宋_GB2312" w:eastAsia="仿宋_GB2312" w:cs="仿宋_GB2312"/>
          <w:sz w:val="32"/>
          <w:szCs w:val="32"/>
        </w:rPr>
        <w:t>万元</w:t>
      </w:r>
      <w:bookmarkEnd w:id="0"/>
      <w:r>
        <w:rPr>
          <w:rFonts w:hint="eastAsia" w:ascii="仿宋_GB2312" w:eastAsia="仿宋_GB2312" w:cs="仿宋_GB2312"/>
          <w:sz w:val="32"/>
          <w:szCs w:val="32"/>
        </w:rPr>
        <w:t>，其中：名师指导费用</w:t>
      </w:r>
      <w:r>
        <w:rPr>
          <w:rFonts w:ascii="仿宋_GB2312" w:eastAsia="仿宋_GB2312" w:cs="仿宋_GB2312"/>
          <w:sz w:val="32"/>
          <w:szCs w:val="32"/>
        </w:rPr>
        <w:t>3</w:t>
      </w:r>
      <w:r>
        <w:rPr>
          <w:rFonts w:hint="eastAsia" w:ascii="仿宋_GB2312" w:eastAsia="仿宋_GB2312" w:cs="仿宋_GB2312"/>
          <w:sz w:val="32"/>
          <w:szCs w:val="32"/>
        </w:rPr>
        <w:t>万元、科研活动经费</w:t>
      </w:r>
      <w:r>
        <w:rPr>
          <w:rFonts w:ascii="仿宋_GB2312" w:eastAsia="仿宋_GB2312" w:cs="仿宋_GB2312"/>
          <w:sz w:val="32"/>
          <w:szCs w:val="32"/>
        </w:rPr>
        <w:t>2</w:t>
      </w:r>
      <w:r>
        <w:rPr>
          <w:rFonts w:hint="eastAsia" w:ascii="仿宋_GB2312" w:eastAsia="仿宋_GB2312" w:cs="仿宋_GB2312"/>
          <w:sz w:val="32"/>
          <w:szCs w:val="32"/>
        </w:rPr>
        <w:t>万元。</w:t>
      </w:r>
      <w:r>
        <w:rPr>
          <w:rFonts w:hint="eastAsia" w:ascii="仿宋_GB2312" w:hAnsi="Times New Roman" w:eastAsia="仿宋_GB2312" w:cs="仿宋_GB2312"/>
          <w:sz w:val="32"/>
          <w:szCs w:val="32"/>
        </w:rPr>
        <w:t>同时具有上述多种人才称号的，不重复享受工作专项经费。</w:t>
      </w:r>
    </w:p>
    <w:p>
      <w:pPr>
        <w:snapToGrid w:val="0"/>
        <w:spacing w:after="0" w:line="560" w:lineRule="exact"/>
        <w:jc w:val="center"/>
        <w:rPr>
          <w:rFonts w:ascii="黑体" w:hAnsi="Times New Roman" w:eastAsia="黑体" w:cs="Times New Roman"/>
          <w:sz w:val="32"/>
          <w:szCs w:val="32"/>
        </w:rPr>
      </w:pPr>
      <w:r>
        <w:rPr>
          <w:rFonts w:hint="eastAsia" w:ascii="黑体" w:hAnsi="Times New Roman" w:eastAsia="黑体" w:cs="黑体"/>
          <w:sz w:val="32"/>
          <w:szCs w:val="32"/>
        </w:rPr>
        <w:t>第七章</w:t>
      </w:r>
      <w:r>
        <w:rPr>
          <w:rFonts w:ascii="黑体" w:hAnsi="Times New Roman" w:eastAsia="黑体" w:cs="黑体"/>
          <w:sz w:val="32"/>
          <w:szCs w:val="32"/>
        </w:rPr>
        <w:t xml:space="preserve">  </w:t>
      </w:r>
      <w:r>
        <w:rPr>
          <w:rFonts w:hint="eastAsia" w:ascii="黑体" w:hAnsi="Times New Roman" w:eastAsia="黑体" w:cs="黑体"/>
          <w:sz w:val="32"/>
          <w:szCs w:val="32"/>
        </w:rPr>
        <w:t>附则</w:t>
      </w:r>
    </w:p>
    <w:p>
      <w:pPr>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按财政管理体制要求，直属单位高层次教育人才工作专项经费，由市级财政承担。各辖市区可参照执行，经费由各辖市区纳入年度预算自行承担。</w:t>
      </w:r>
    </w:p>
    <w:p>
      <w:pPr>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各民办学校可参照本细则开展工作质效调研。</w:t>
      </w:r>
    </w:p>
    <w:p>
      <w:pPr>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本细则自发文之日起施行。</w:t>
      </w:r>
    </w:p>
    <w:p>
      <w:pPr>
        <w:spacing w:after="0"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本细则由常州市教育局负责解释。</w:t>
      </w:r>
    </w:p>
    <w:sectPr>
      <w:footerReference r:id="rId5" w:type="default"/>
      <w:pgSz w:w="11906" w:h="16838"/>
      <w:pgMar w:top="1701" w:right="1531" w:bottom="1701" w:left="1531" w:header="851" w:footer="992" w:gutter="0"/>
      <w:pgNumType w:fmt="numberInDash" w:start="45"/>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- 46 -</w:t>
    </w:r>
    <w:r>
      <w:rPr>
        <w:rStyle w:val="7"/>
        <w:rFonts w:ascii="Times New Roman" w:hAnsi="Times New Roman" w:cs="Times New Roman"/>
        <w:sz w:val="28"/>
        <w:szCs w:val="28"/>
      </w:rPr>
      <w:fldChar w:fldCharType="end"/>
    </w:r>
  </w:p>
  <w:p>
    <w:pPr>
      <w:pStyle w:val="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AC"/>
    <w:rsid w:val="00000156"/>
    <w:rsid w:val="00016D93"/>
    <w:rsid w:val="00054683"/>
    <w:rsid w:val="00087AD2"/>
    <w:rsid w:val="000B2BAD"/>
    <w:rsid w:val="000E6F1C"/>
    <w:rsid w:val="00125FBB"/>
    <w:rsid w:val="00140ADD"/>
    <w:rsid w:val="0016124D"/>
    <w:rsid w:val="00165B65"/>
    <w:rsid w:val="00171021"/>
    <w:rsid w:val="00194278"/>
    <w:rsid w:val="0019507F"/>
    <w:rsid w:val="001A2529"/>
    <w:rsid w:val="001A3471"/>
    <w:rsid w:val="001B7BDC"/>
    <w:rsid w:val="001C7CEA"/>
    <w:rsid w:val="001F4DC1"/>
    <w:rsid w:val="001F58CF"/>
    <w:rsid w:val="002071C0"/>
    <w:rsid w:val="00227943"/>
    <w:rsid w:val="00243CF3"/>
    <w:rsid w:val="00262EA4"/>
    <w:rsid w:val="00271434"/>
    <w:rsid w:val="00273393"/>
    <w:rsid w:val="00280919"/>
    <w:rsid w:val="002A0BE5"/>
    <w:rsid w:val="002B0B56"/>
    <w:rsid w:val="002B6C79"/>
    <w:rsid w:val="002C1831"/>
    <w:rsid w:val="002C71BB"/>
    <w:rsid w:val="002D5132"/>
    <w:rsid w:val="002E069C"/>
    <w:rsid w:val="002F3389"/>
    <w:rsid w:val="00347412"/>
    <w:rsid w:val="00360A24"/>
    <w:rsid w:val="003F3CEA"/>
    <w:rsid w:val="00400017"/>
    <w:rsid w:val="00401289"/>
    <w:rsid w:val="00433F93"/>
    <w:rsid w:val="0044278C"/>
    <w:rsid w:val="00454683"/>
    <w:rsid w:val="0045558C"/>
    <w:rsid w:val="00460274"/>
    <w:rsid w:val="00463CA3"/>
    <w:rsid w:val="00485093"/>
    <w:rsid w:val="004C3602"/>
    <w:rsid w:val="005122EA"/>
    <w:rsid w:val="0052506C"/>
    <w:rsid w:val="00532887"/>
    <w:rsid w:val="00542F5F"/>
    <w:rsid w:val="005453ED"/>
    <w:rsid w:val="0055703C"/>
    <w:rsid w:val="00561316"/>
    <w:rsid w:val="005651D6"/>
    <w:rsid w:val="00591A82"/>
    <w:rsid w:val="00592747"/>
    <w:rsid w:val="005A699D"/>
    <w:rsid w:val="005D4CB4"/>
    <w:rsid w:val="0062024E"/>
    <w:rsid w:val="00677093"/>
    <w:rsid w:val="00677CCD"/>
    <w:rsid w:val="006905A4"/>
    <w:rsid w:val="006C4C1E"/>
    <w:rsid w:val="006D46E3"/>
    <w:rsid w:val="00703613"/>
    <w:rsid w:val="00730F24"/>
    <w:rsid w:val="007311D3"/>
    <w:rsid w:val="00735D83"/>
    <w:rsid w:val="007465AC"/>
    <w:rsid w:val="007704EF"/>
    <w:rsid w:val="00770687"/>
    <w:rsid w:val="007B77F9"/>
    <w:rsid w:val="007F7E17"/>
    <w:rsid w:val="008041EC"/>
    <w:rsid w:val="00824702"/>
    <w:rsid w:val="00830EFA"/>
    <w:rsid w:val="0084667E"/>
    <w:rsid w:val="00865FAF"/>
    <w:rsid w:val="008C350D"/>
    <w:rsid w:val="008D505C"/>
    <w:rsid w:val="00910FA3"/>
    <w:rsid w:val="00914E1E"/>
    <w:rsid w:val="00946F18"/>
    <w:rsid w:val="009603C4"/>
    <w:rsid w:val="00967487"/>
    <w:rsid w:val="009B2381"/>
    <w:rsid w:val="009C78CB"/>
    <w:rsid w:val="009D3037"/>
    <w:rsid w:val="009E3ECF"/>
    <w:rsid w:val="009F24EC"/>
    <w:rsid w:val="00A10A7F"/>
    <w:rsid w:val="00A26430"/>
    <w:rsid w:val="00A54EE1"/>
    <w:rsid w:val="00A83DE9"/>
    <w:rsid w:val="00A865F3"/>
    <w:rsid w:val="00AA3E8D"/>
    <w:rsid w:val="00AD60AF"/>
    <w:rsid w:val="00AF5A72"/>
    <w:rsid w:val="00B10C6C"/>
    <w:rsid w:val="00B3542E"/>
    <w:rsid w:val="00B60491"/>
    <w:rsid w:val="00B63F69"/>
    <w:rsid w:val="00B7633E"/>
    <w:rsid w:val="00B94265"/>
    <w:rsid w:val="00BD29B6"/>
    <w:rsid w:val="00BD6A0D"/>
    <w:rsid w:val="00C00005"/>
    <w:rsid w:val="00C10B50"/>
    <w:rsid w:val="00C11C4F"/>
    <w:rsid w:val="00C150F8"/>
    <w:rsid w:val="00C169D9"/>
    <w:rsid w:val="00C34C49"/>
    <w:rsid w:val="00C565A6"/>
    <w:rsid w:val="00C57828"/>
    <w:rsid w:val="00C83C58"/>
    <w:rsid w:val="00C94A30"/>
    <w:rsid w:val="00CC340D"/>
    <w:rsid w:val="00CC4389"/>
    <w:rsid w:val="00CD5815"/>
    <w:rsid w:val="00D44302"/>
    <w:rsid w:val="00D53BE3"/>
    <w:rsid w:val="00D61237"/>
    <w:rsid w:val="00D70C57"/>
    <w:rsid w:val="00D83F4D"/>
    <w:rsid w:val="00D97D7C"/>
    <w:rsid w:val="00DD07A4"/>
    <w:rsid w:val="00DE126F"/>
    <w:rsid w:val="00DF58F2"/>
    <w:rsid w:val="00E20203"/>
    <w:rsid w:val="00E80ECC"/>
    <w:rsid w:val="00E92208"/>
    <w:rsid w:val="00E928D5"/>
    <w:rsid w:val="00E95BCD"/>
    <w:rsid w:val="00EB1BCB"/>
    <w:rsid w:val="00ED0DFB"/>
    <w:rsid w:val="00ED688B"/>
    <w:rsid w:val="00EE2B8B"/>
    <w:rsid w:val="00F26C9A"/>
    <w:rsid w:val="00F32024"/>
    <w:rsid w:val="00F60B59"/>
    <w:rsid w:val="00F67B0E"/>
    <w:rsid w:val="00F77C4C"/>
    <w:rsid w:val="00F86BED"/>
    <w:rsid w:val="200E2065"/>
    <w:rsid w:val="3BA57D4F"/>
    <w:rsid w:val="41797280"/>
    <w:rsid w:val="5DB40B52"/>
    <w:rsid w:val="636B6046"/>
    <w:rsid w:val="6D5E40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等线" w:hAnsi="等线" w:eastAsia="等线" w:cs="等线"/>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rFonts w:ascii="Calibri" w:hAnsi="Calibri" w:eastAsia="宋体" w:cs="Calibri"/>
      <w:kern w:val="0"/>
      <w:sz w:val="2"/>
      <w:szCs w:val="2"/>
    </w:rPr>
  </w:style>
  <w:style w:type="paragraph" w:styleId="3">
    <w:name w:val="footer"/>
    <w:basedOn w:val="1"/>
    <w:link w:val="9"/>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styleId="7">
    <w:name w:val="page number"/>
    <w:basedOn w:val="6"/>
    <w:uiPriority w:val="99"/>
  </w:style>
  <w:style w:type="character" w:customStyle="1" w:styleId="8">
    <w:name w:val="批注框文本 Char"/>
    <w:basedOn w:val="6"/>
    <w:link w:val="2"/>
    <w:semiHidden/>
    <w:locked/>
    <w:uiPriority w:val="99"/>
    <w:rPr>
      <w:sz w:val="2"/>
      <w:szCs w:val="2"/>
    </w:rPr>
  </w:style>
  <w:style w:type="character" w:customStyle="1" w:styleId="9">
    <w:name w:val="页脚 Char"/>
    <w:basedOn w:val="6"/>
    <w:link w:val="3"/>
    <w:locked/>
    <w:uiPriority w:val="99"/>
    <w:rPr>
      <w:kern w:val="2"/>
      <w:sz w:val="18"/>
      <w:szCs w:val="18"/>
    </w:rPr>
  </w:style>
  <w:style w:type="character" w:customStyle="1" w:styleId="10">
    <w:name w:val="页眉 Char"/>
    <w:basedOn w:val="6"/>
    <w:link w:val="4"/>
    <w:qFormat/>
    <w:locked/>
    <w:uiPriority w:val="99"/>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dep</Company>
  <Pages>1</Pages>
  <Words>230</Words>
  <Characters>1312</Characters>
  <Lines>10</Lines>
  <Paragraphs>3</Paragraphs>
  <TotalTime>48</TotalTime>
  <ScaleCrop>false</ScaleCrop>
  <LinksUpToDate>false</LinksUpToDate>
  <CharactersWithSpaces>1539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jysdh</dc:creator>
  <cp:lastModifiedBy>阿呆</cp:lastModifiedBy>
  <cp:lastPrinted>2017-11-16T07:45:00Z</cp:lastPrinted>
  <dcterms:modified xsi:type="dcterms:W3CDTF">2025-03-31T01:16:01Z</dcterms:modified>
  <dc:title>附件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C3537617653E4B678A568484866EE5DE_13</vt:lpwstr>
  </property>
</Properties>
</file>