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B3BE9">
      <w:pPr>
        <w:spacing w:line="660" w:lineRule="exact"/>
        <w:ind w:left="-3" w:firstLine="2"/>
        <w:jc w:val="distribute"/>
        <w:rPr>
          <w:rFonts w:eastAsia="黑体"/>
          <w:bCs/>
          <w:w w:val="90"/>
          <w:sz w:val="52"/>
          <w:szCs w:val="52"/>
        </w:rPr>
      </w:pPr>
      <w:r>
        <w:rPr>
          <w:rFonts w:hint="eastAsia" w:eastAsia="黑体"/>
          <w:bCs/>
          <w:w w:val="90"/>
          <w:sz w:val="52"/>
          <w:szCs w:val="52"/>
        </w:rPr>
        <w:t>江 苏 省 教 育 科 学 规 划 课 题</w:t>
      </w:r>
    </w:p>
    <w:p w14:paraId="23CBDC09">
      <w:pPr>
        <w:jc w:val="center"/>
        <w:rPr>
          <w:rFonts w:ascii="宋体" w:hAnsi="宋体"/>
          <w:bCs/>
          <w:sz w:val="32"/>
          <w:szCs w:val="32"/>
        </w:rPr>
      </w:pPr>
    </w:p>
    <w:p w14:paraId="1FCA05EE">
      <w:pPr>
        <w:jc w:val="both"/>
        <w:rPr>
          <w:rFonts w:hint="eastAsia" w:ascii="华光行草_CNKI" w:hAnsi="华光行草_CNKI" w:eastAsia="华光行草_CNKI"/>
          <w:b/>
          <w:w w:val="90"/>
          <w:sz w:val="36"/>
          <w:szCs w:val="36"/>
        </w:rPr>
      </w:pPr>
    </w:p>
    <w:p w14:paraId="794AD4DC">
      <w:pPr>
        <w:jc w:val="center"/>
        <w:rPr>
          <w:rFonts w:hint="eastAsia" w:ascii="华光行草_CNKI" w:hAnsi="华光行草_CNKI" w:eastAsia="华光行草_CNKI"/>
          <w:b/>
          <w:w w:val="90"/>
          <w:sz w:val="36"/>
          <w:szCs w:val="36"/>
        </w:rPr>
      </w:pPr>
      <w:r>
        <w:rPr>
          <w:rFonts w:hint="eastAsia" w:ascii="华光行草_CNKI" w:hAnsi="华光行草_CNKI" w:eastAsia="华光行草_CNKI"/>
          <w:b/>
          <w:w w:val="90"/>
          <w:sz w:val="36"/>
          <w:szCs w:val="36"/>
        </w:rPr>
        <w:t>《学科核心素养导向下的初中化学单元教学实践研究》</w:t>
      </w:r>
    </w:p>
    <w:p w14:paraId="33538AFA">
      <w:pPr>
        <w:jc w:val="center"/>
        <w:rPr>
          <w:rFonts w:ascii="宋体" w:hAnsi="宋体"/>
          <w:b/>
          <w:sz w:val="36"/>
          <w:szCs w:val="36"/>
        </w:rPr>
      </w:pPr>
      <w:r>
        <w:rPr>
          <w:rFonts w:hint="eastAsia"/>
        </w:rPr>
        <w:t>（江苏省教育科学“十四五”规划2</w:t>
      </w:r>
      <w:r>
        <w:t>021</w:t>
      </w:r>
      <w:r>
        <w:rPr>
          <w:rFonts w:hint="eastAsia"/>
        </w:rPr>
        <w:t>年度课题，批准号：C</w:t>
      </w:r>
      <w:r>
        <w:t>-c/2021/02/102</w:t>
      </w:r>
      <w:r>
        <w:rPr>
          <w:rFonts w:hint="eastAsia"/>
        </w:rPr>
        <w:t>青年一般）</w:t>
      </w:r>
    </w:p>
    <w:p w14:paraId="0544EA07">
      <w:pPr>
        <w:jc w:val="center"/>
        <w:rPr>
          <w:rFonts w:ascii="宋体" w:hAnsi="宋体"/>
          <w:b/>
          <w:sz w:val="36"/>
          <w:szCs w:val="36"/>
        </w:rPr>
      </w:pPr>
    </w:p>
    <w:p w14:paraId="6F091065">
      <w:pPr>
        <w:jc w:val="center"/>
        <w:rPr>
          <w:rFonts w:ascii="宋体" w:hAnsi="宋体"/>
          <w:b/>
          <w:sz w:val="36"/>
          <w:szCs w:val="36"/>
        </w:rPr>
      </w:pPr>
    </w:p>
    <w:p w14:paraId="5BF7C7AF">
      <w:pPr>
        <w:jc w:val="center"/>
        <w:rPr>
          <w:rFonts w:ascii="宋体" w:hAnsi="宋体"/>
          <w:b/>
          <w:sz w:val="36"/>
          <w:szCs w:val="36"/>
        </w:rPr>
      </w:pPr>
    </w:p>
    <w:p w14:paraId="2D51DD52">
      <w:pPr>
        <w:rPr>
          <w:rFonts w:ascii="宋体" w:hAnsi="宋体"/>
          <w:b/>
          <w:sz w:val="36"/>
          <w:szCs w:val="36"/>
        </w:rPr>
      </w:pPr>
    </w:p>
    <w:p w14:paraId="755D3057">
      <w:pPr>
        <w:spacing w:line="360" w:lineRule="auto"/>
        <w:jc w:val="center"/>
        <w:rPr>
          <w:rFonts w:ascii="新宋体" w:hAnsi="新宋体" w:eastAsia="新宋体" w:cs="新宋体"/>
          <w:bCs/>
          <w:sz w:val="84"/>
          <w:szCs w:val="84"/>
        </w:rPr>
      </w:pPr>
      <w:r>
        <w:rPr>
          <w:rFonts w:hint="eastAsia" w:ascii="新宋体" w:hAnsi="新宋体" w:eastAsia="新宋体" w:cs="新宋体"/>
          <w:bCs/>
          <w:sz w:val="84"/>
          <w:szCs w:val="84"/>
        </w:rPr>
        <w:t>结</w:t>
      </w:r>
    </w:p>
    <w:p w14:paraId="4F27D509">
      <w:pPr>
        <w:spacing w:line="360" w:lineRule="auto"/>
        <w:jc w:val="center"/>
        <w:rPr>
          <w:rFonts w:ascii="新宋体" w:hAnsi="新宋体" w:eastAsia="新宋体" w:cs="新宋体"/>
          <w:bCs/>
          <w:sz w:val="84"/>
          <w:szCs w:val="84"/>
        </w:rPr>
      </w:pPr>
      <w:r>
        <w:rPr>
          <w:rFonts w:hint="eastAsia" w:ascii="新宋体" w:hAnsi="新宋体" w:eastAsia="新宋体" w:cs="新宋体"/>
          <w:bCs/>
          <w:sz w:val="84"/>
          <w:szCs w:val="84"/>
        </w:rPr>
        <w:t>题</w:t>
      </w:r>
    </w:p>
    <w:p w14:paraId="45803C97">
      <w:pPr>
        <w:spacing w:line="360" w:lineRule="auto"/>
        <w:jc w:val="center"/>
        <w:rPr>
          <w:rFonts w:ascii="新宋体" w:hAnsi="新宋体" w:eastAsia="新宋体" w:cs="新宋体"/>
          <w:bCs/>
          <w:sz w:val="84"/>
          <w:szCs w:val="84"/>
        </w:rPr>
      </w:pPr>
      <w:r>
        <w:rPr>
          <w:rFonts w:hint="eastAsia" w:ascii="新宋体" w:hAnsi="新宋体" w:eastAsia="新宋体" w:cs="新宋体"/>
          <w:bCs/>
          <w:sz w:val="84"/>
          <w:szCs w:val="84"/>
        </w:rPr>
        <w:t>报</w:t>
      </w:r>
    </w:p>
    <w:p w14:paraId="257416FD">
      <w:pPr>
        <w:spacing w:line="360" w:lineRule="auto"/>
        <w:jc w:val="center"/>
        <w:rPr>
          <w:rFonts w:ascii="新宋体" w:hAnsi="新宋体" w:eastAsia="新宋体" w:cs="新宋体"/>
          <w:bCs/>
          <w:sz w:val="84"/>
          <w:szCs w:val="84"/>
        </w:rPr>
      </w:pPr>
      <w:r>
        <w:rPr>
          <w:rFonts w:hint="eastAsia" w:ascii="新宋体" w:hAnsi="新宋体" w:eastAsia="新宋体" w:cs="新宋体"/>
          <w:bCs/>
          <w:sz w:val="84"/>
          <w:szCs w:val="84"/>
        </w:rPr>
        <w:t>告</w:t>
      </w:r>
    </w:p>
    <w:p w14:paraId="3DD9CE62">
      <w:pPr>
        <w:spacing w:line="360" w:lineRule="auto"/>
        <w:jc w:val="center"/>
        <w:rPr>
          <w:rFonts w:ascii="新宋体" w:hAnsi="新宋体" w:eastAsia="新宋体" w:cs="新宋体"/>
          <w:bCs/>
          <w:sz w:val="84"/>
          <w:szCs w:val="84"/>
        </w:rPr>
      </w:pPr>
    </w:p>
    <w:p w14:paraId="62489C3C">
      <w:pPr>
        <w:spacing w:line="360" w:lineRule="auto"/>
        <w:jc w:val="center"/>
        <w:rPr>
          <w:rFonts w:ascii="新宋体" w:hAnsi="新宋体" w:eastAsia="新宋体" w:cs="新宋体"/>
          <w:bCs/>
          <w:sz w:val="84"/>
          <w:szCs w:val="84"/>
        </w:rPr>
      </w:pPr>
    </w:p>
    <w:p w14:paraId="76FCC4F8">
      <w:pPr>
        <w:spacing w:line="360" w:lineRule="auto"/>
        <w:jc w:val="center"/>
        <w:rPr>
          <w:rFonts w:ascii="新宋体" w:hAnsi="新宋体" w:eastAsia="新宋体" w:cs="新宋体"/>
          <w:bCs/>
          <w:sz w:val="28"/>
          <w:szCs w:val="28"/>
        </w:rPr>
      </w:pPr>
      <w:r>
        <w:rPr>
          <w:rFonts w:hint="eastAsia" w:ascii="新宋体" w:hAnsi="新宋体" w:eastAsia="新宋体" w:cs="新宋体"/>
          <w:bCs/>
          <w:sz w:val="28"/>
          <w:szCs w:val="28"/>
        </w:rPr>
        <w:t>202</w:t>
      </w:r>
      <w:r>
        <w:rPr>
          <w:rFonts w:ascii="新宋体" w:hAnsi="新宋体" w:eastAsia="新宋体" w:cs="新宋体"/>
          <w:bCs/>
          <w:sz w:val="28"/>
          <w:szCs w:val="28"/>
        </w:rPr>
        <w:t>4</w:t>
      </w:r>
      <w:r>
        <w:rPr>
          <w:rFonts w:hint="eastAsia" w:ascii="新宋体" w:hAnsi="新宋体" w:eastAsia="新宋体" w:cs="新宋体"/>
          <w:bCs/>
          <w:sz w:val="28"/>
          <w:szCs w:val="28"/>
        </w:rPr>
        <w:t>.</w:t>
      </w:r>
      <w:r>
        <w:rPr>
          <w:rFonts w:ascii="新宋体" w:hAnsi="新宋体" w:eastAsia="新宋体" w:cs="新宋体"/>
          <w:bCs/>
          <w:sz w:val="28"/>
          <w:szCs w:val="28"/>
        </w:rPr>
        <w:t>12</w:t>
      </w:r>
      <w:r>
        <w:rPr>
          <w:rFonts w:hint="eastAsia" w:ascii="新宋体" w:hAnsi="新宋体" w:eastAsia="新宋体" w:cs="新宋体"/>
          <w:bCs/>
          <w:sz w:val="28"/>
          <w:szCs w:val="28"/>
        </w:rPr>
        <w:t>.</w:t>
      </w:r>
      <w:r>
        <w:rPr>
          <w:rFonts w:ascii="新宋体" w:hAnsi="新宋体" w:eastAsia="新宋体" w:cs="新宋体"/>
          <w:bCs/>
          <w:sz w:val="28"/>
          <w:szCs w:val="28"/>
        </w:rPr>
        <w:t>20</w:t>
      </w:r>
    </w:p>
    <w:p w14:paraId="2203B9FC">
      <w:pPr>
        <w:spacing w:line="360" w:lineRule="auto"/>
        <w:jc w:val="both"/>
        <w:rPr>
          <w:rFonts w:hint="eastAsia" w:ascii="新宋体" w:hAnsi="新宋体" w:eastAsia="新宋体" w:cs="新宋体"/>
          <w:bCs/>
          <w:sz w:val="28"/>
          <w:szCs w:val="28"/>
          <w:lang w:eastAsia="zh-CN"/>
        </w:rPr>
      </w:pPr>
    </w:p>
    <w:p w14:paraId="63B0A1DF">
      <w:pPr>
        <w:jc w:val="center"/>
        <w:rPr>
          <w:rFonts w:hint="eastAsia" w:eastAsiaTheme="minorEastAsia"/>
          <w:b/>
          <w:bCs/>
          <w:sz w:val="32"/>
          <w:szCs w:val="32"/>
          <w:vertAlign w:val="superscript"/>
          <w:lang w:eastAsia="zh-CN"/>
        </w:rPr>
      </w:pPr>
      <w:r>
        <w:rPr>
          <w:rFonts w:hint="eastAsia"/>
          <w:b/>
          <w:bCs/>
          <w:sz w:val="32"/>
          <w:szCs w:val="32"/>
        </w:rPr>
        <w:t>学科核心素养导向下的初中化学单元教学实践研究</w:t>
      </w:r>
      <w:r>
        <w:rPr>
          <w:rFonts w:hint="eastAsia"/>
          <w:b/>
          <w:bCs/>
          <w:sz w:val="32"/>
          <w:szCs w:val="32"/>
          <w:vertAlign w:val="superscript"/>
          <w:lang w:val="en-US" w:eastAsia="zh-CN"/>
        </w:rPr>
        <w:t>*</w:t>
      </w:r>
    </w:p>
    <w:p w14:paraId="36D25EBD">
      <w:pPr>
        <w:jc w:val="center"/>
        <w:rPr>
          <w:b/>
          <w:bCs/>
          <w:sz w:val="32"/>
          <w:szCs w:val="32"/>
        </w:rPr>
      </w:pPr>
      <w:r>
        <w:rPr>
          <w:rFonts w:hint="eastAsia"/>
        </w:rPr>
        <w:t>（江苏省教育科学“十四五”规划2</w:t>
      </w:r>
      <w:r>
        <w:t>021</w:t>
      </w:r>
      <w:r>
        <w:rPr>
          <w:rFonts w:hint="eastAsia"/>
        </w:rPr>
        <w:t>年度课题，批准号：C</w:t>
      </w:r>
      <w:r>
        <w:t>-c/2021/02/102</w:t>
      </w:r>
      <w:r>
        <w:rPr>
          <w:rFonts w:hint="eastAsia"/>
        </w:rPr>
        <w:t>，一般）</w:t>
      </w:r>
    </w:p>
    <w:p w14:paraId="21009E04">
      <w:pPr>
        <w:jc w:val="center"/>
        <w:rPr>
          <w:b/>
          <w:bCs/>
          <w:sz w:val="32"/>
          <w:szCs w:val="32"/>
        </w:rPr>
      </w:pPr>
      <w:r>
        <w:rPr>
          <w:rFonts w:hint="eastAsia"/>
          <w:b/>
          <w:bCs/>
          <w:sz w:val="32"/>
          <w:szCs w:val="32"/>
        </w:rPr>
        <w:t>结题报告</w:t>
      </w:r>
    </w:p>
    <w:p w14:paraId="26BD025B">
      <w:pPr>
        <w:widowControl/>
        <w:adjustRightInd w:val="0"/>
        <w:snapToGrid w:val="0"/>
        <w:jc w:val="center"/>
        <w:rPr>
          <w:rFonts w:ascii="楷体_GB2312" w:hAnsi="宋体" w:eastAsia="楷体_GB2312" w:cs="宋体"/>
          <w:kern w:val="0"/>
          <w:sz w:val="24"/>
        </w:rPr>
      </w:pPr>
      <w:r>
        <w:rPr>
          <w:rFonts w:hint="eastAsia" w:ascii="楷体_GB2312" w:hAnsi="宋体" w:eastAsia="楷体_GB2312" w:cs="宋体"/>
          <w:kern w:val="0"/>
          <w:sz w:val="24"/>
        </w:rPr>
        <w:t>主持人：常州市正衡中学 艾璐；执笔：常州经开区教师发展中心 董新伟</w:t>
      </w:r>
    </w:p>
    <w:p w14:paraId="4134152E">
      <w:pPr>
        <w:widowControl/>
        <w:adjustRightInd w:val="0"/>
        <w:snapToGrid w:val="0"/>
        <w:jc w:val="center"/>
        <w:rPr>
          <w:rFonts w:ascii="楷体_GB2312" w:hAnsi="宋体" w:eastAsia="楷体_GB2312" w:cs="宋体"/>
          <w:kern w:val="0"/>
          <w:sz w:val="24"/>
        </w:rPr>
      </w:pPr>
      <w:r>
        <w:rPr>
          <w:rFonts w:hint="eastAsia"/>
          <w:color w:val="FFFFFF" w:themeColor="background1"/>
          <w:sz w:val="18"/>
          <w:szCs w:val="18"/>
          <w14:textFill>
            <w14:solidFill>
              <w14:schemeClr w14:val="bg1"/>
            </w14:solidFill>
          </w14:textFill>
        </w:rPr>
        <w:t>艳</w:t>
      </w:r>
    </w:p>
    <w:p w14:paraId="05CB42D5">
      <w:pPr>
        <w:ind w:firstLine="480" w:firstLineChars="200"/>
        <w:rPr>
          <w:rFonts w:ascii="楷体" w:hAnsi="楷体" w:eastAsia="楷体" w:cs="楷体"/>
          <w:sz w:val="24"/>
        </w:rPr>
      </w:pPr>
      <w:r>
        <w:rPr>
          <w:rFonts w:hint="eastAsia" w:ascii="楷体" w:hAnsi="楷体" w:eastAsia="楷体" w:cs="楷体"/>
          <w:sz w:val="24"/>
        </w:rPr>
        <w:t>20</w:t>
      </w:r>
      <w:r>
        <w:rPr>
          <w:rFonts w:ascii="楷体" w:hAnsi="楷体" w:eastAsia="楷体" w:cs="楷体"/>
          <w:sz w:val="24"/>
        </w:rPr>
        <w:t>22</w:t>
      </w:r>
      <w:r>
        <w:rPr>
          <w:rFonts w:hint="eastAsia" w:ascii="楷体" w:hAnsi="楷体" w:eastAsia="楷体" w:cs="楷体"/>
          <w:sz w:val="24"/>
        </w:rPr>
        <w:t>年</w:t>
      </w:r>
      <w:r>
        <w:rPr>
          <w:rFonts w:ascii="楷体" w:hAnsi="楷体" w:eastAsia="楷体" w:cs="楷体"/>
          <w:sz w:val="24"/>
        </w:rPr>
        <w:t>1</w:t>
      </w:r>
      <w:r>
        <w:rPr>
          <w:rFonts w:hint="eastAsia" w:ascii="楷体" w:hAnsi="楷体" w:eastAsia="楷体" w:cs="楷体"/>
          <w:sz w:val="24"/>
        </w:rPr>
        <w:t>月，艾璐同志主持的“学科核心素养导向下的初中化学单元教学实践研究”，被批准立项为江苏省教育科学“十四五”规划课题。20</w:t>
      </w:r>
      <w:r>
        <w:rPr>
          <w:rFonts w:ascii="楷体" w:hAnsi="楷体" w:eastAsia="楷体" w:cs="楷体"/>
          <w:sz w:val="24"/>
        </w:rPr>
        <w:t>2</w:t>
      </w:r>
      <w:r>
        <w:rPr>
          <w:rFonts w:hint="eastAsia" w:ascii="楷体" w:hAnsi="楷体" w:eastAsia="楷体" w:cs="楷体"/>
          <w:sz w:val="24"/>
        </w:rPr>
        <w:t>2年</w:t>
      </w:r>
      <w:r>
        <w:rPr>
          <w:rFonts w:ascii="楷体" w:hAnsi="楷体" w:eastAsia="楷体" w:cs="楷体"/>
          <w:sz w:val="24"/>
        </w:rPr>
        <w:t>3</w:t>
      </w:r>
      <w:r>
        <w:rPr>
          <w:rFonts w:hint="eastAsia" w:ascii="楷体" w:hAnsi="楷体" w:eastAsia="楷体" w:cs="楷体"/>
          <w:sz w:val="24"/>
        </w:rPr>
        <w:t>月</w:t>
      </w:r>
      <w:r>
        <w:rPr>
          <w:rFonts w:ascii="楷体" w:hAnsi="楷体" w:eastAsia="楷体" w:cs="楷体"/>
          <w:sz w:val="24"/>
        </w:rPr>
        <w:t>9</w:t>
      </w:r>
      <w:r>
        <w:rPr>
          <w:rFonts w:hint="eastAsia" w:ascii="楷体" w:hAnsi="楷体" w:eastAsia="楷体" w:cs="楷体"/>
          <w:sz w:val="24"/>
        </w:rPr>
        <w:t>日进行了开题论证、课题组以常州市正衡中学集团校和常州经开区教师发展中心为龙头组建了研究团队成员来自天宁区和经开区共十三所初中的优秀骨干教师。2</w:t>
      </w:r>
      <w:r>
        <w:rPr>
          <w:rFonts w:ascii="楷体" w:hAnsi="楷体" w:eastAsia="楷体" w:cs="楷体"/>
          <w:sz w:val="24"/>
        </w:rPr>
        <w:t>022</w:t>
      </w:r>
      <w:r>
        <w:rPr>
          <w:rFonts w:hint="eastAsia" w:ascii="楷体" w:hAnsi="楷体" w:eastAsia="楷体" w:cs="楷体"/>
          <w:sz w:val="24"/>
        </w:rPr>
        <w:t>年6月3日开展了课题研究系列培训与理论学习。2</w:t>
      </w:r>
      <w:r>
        <w:rPr>
          <w:rFonts w:ascii="楷体" w:hAnsi="楷体" w:eastAsia="楷体" w:cs="楷体"/>
          <w:sz w:val="24"/>
        </w:rPr>
        <w:t>022</w:t>
      </w:r>
      <w:r>
        <w:rPr>
          <w:rFonts w:hint="eastAsia" w:ascii="楷体" w:hAnsi="楷体" w:eastAsia="楷体" w:cs="楷体"/>
          <w:sz w:val="24"/>
        </w:rPr>
        <w:t>年9月6日起开展了有规划的教学实践研究与案例积累，20</w:t>
      </w:r>
      <w:r>
        <w:rPr>
          <w:rFonts w:ascii="楷体" w:hAnsi="楷体" w:eastAsia="楷体" w:cs="楷体"/>
          <w:sz w:val="24"/>
        </w:rPr>
        <w:t>23</w:t>
      </w:r>
      <w:r>
        <w:rPr>
          <w:rFonts w:hint="eastAsia" w:ascii="楷体" w:hAnsi="楷体" w:eastAsia="楷体" w:cs="楷体"/>
          <w:sz w:val="24"/>
        </w:rPr>
        <w:t>年6月初顺利通过了中期评估。研究期间得到了常州市教科院龚国胜主任、王俊博士、黄天庆博士、孙美蓉博士、钱柳云老师、经开区教师发展中心何运耿主任、天宁区教师发展中心于纯老师、新北区周文荣主任的精心指导，以及江苏省教科院倪娟所长、赵华所长、华东师大王祖浩教授、扬州大学吴星教授、南师大马宏佳教授、苏州大学王伟群教授、北师大魏锐教授、东北师大郑长龙教授、北师大朱玉军博士的关心与指点，经过三年的课题研究，已基本完成规定的研究任务。</w:t>
      </w:r>
    </w:p>
    <w:p w14:paraId="763C3A3A">
      <w:pPr>
        <w:ind w:firstLine="420" w:firstLineChars="200"/>
      </w:pPr>
    </w:p>
    <w:p w14:paraId="4F7C51CA">
      <w:pPr>
        <w:ind w:firstLine="420" w:firstLineChars="200"/>
        <w:rPr>
          <w:b/>
          <w:bCs/>
        </w:rPr>
      </w:pPr>
      <w:r>
        <w:rPr>
          <w:rFonts w:hint="eastAsia"/>
          <w:b/>
          <w:bCs/>
        </w:rPr>
        <w:t>一、研究基本情况</w:t>
      </w:r>
    </w:p>
    <w:p w14:paraId="3547B3F9">
      <w:pPr>
        <w:ind w:firstLine="420" w:firstLineChars="200"/>
        <w:rPr>
          <w:b/>
          <w:bCs/>
        </w:rPr>
      </w:pPr>
      <w:r>
        <w:rPr>
          <w:rFonts w:hint="eastAsia"/>
          <w:b/>
          <w:bCs/>
        </w:rPr>
        <w:t>（一）意义与价值</w:t>
      </w:r>
    </w:p>
    <w:p w14:paraId="7E3D27FF">
      <w:pPr>
        <w:ind w:firstLine="420" w:firstLineChars="200"/>
        <w:rPr>
          <w:b/>
          <w:bCs/>
        </w:rPr>
      </w:pPr>
      <w:r>
        <w:rPr>
          <w:rFonts w:hint="eastAsia"/>
          <w:b/>
          <w:bCs/>
        </w:rPr>
        <w:t>1.基于依标教学的现实需求</w:t>
      </w:r>
    </w:p>
    <w:p w14:paraId="11E49348">
      <w:pPr>
        <w:ind w:firstLine="420" w:firstLineChars="200"/>
      </w:pPr>
      <w:r>
        <w:rPr>
          <w:rFonts w:hint="eastAsia"/>
        </w:rPr>
        <w:t>《义务教育化学课程标准》（2</w:t>
      </w:r>
      <w:r>
        <w:t>022</w:t>
      </w:r>
      <w:r>
        <w:rPr>
          <w:rFonts w:hint="eastAsia"/>
        </w:rPr>
        <w:t>版）指出：</w:t>
      </w:r>
      <w:r>
        <w:rPr>
          <w:b/>
        </w:rPr>
        <w:t>重视开展核心素养导向的化学教学</w:t>
      </w:r>
      <w:r>
        <w:rPr>
          <w:rFonts w:hint="eastAsia"/>
        </w:rPr>
        <w:t>。</w:t>
      </w:r>
      <w:r>
        <w:t>聚焦学科育人方式的转变，深化化学教学改革。基于大概念的建构，</w:t>
      </w:r>
      <w:r>
        <w:rPr>
          <w:b/>
        </w:rPr>
        <w:t>整体设计和合理实施单元教学</w:t>
      </w:r>
      <w:r>
        <w:t>，注重启发式、互动式、探究式教学，引导学生自主学习，开展以化学实验为主的多样化探究活动</w:t>
      </w:r>
      <w:r>
        <w:rPr>
          <w:rFonts w:hint="eastAsia"/>
        </w:rPr>
        <w:t>；</w:t>
      </w:r>
      <w:r>
        <w:t>创设真实问题情境，倡导“做中学”“用中学”“创中学”,开展项目式学习，重视跨学科实践活动。基于每个学习主题的特点与核心素养发展的具体目标，提供有针对性的教学策略建议、情境素材建议和学习活动建议。</w:t>
      </w:r>
      <w:r>
        <w:rPr>
          <w:b/>
        </w:rPr>
        <w:t>全面理解课程内容体系，合理组织化学教学内容</w:t>
      </w:r>
      <w:r>
        <w:rPr>
          <w:rFonts w:hint="eastAsia"/>
        </w:rPr>
        <w:t>。</w:t>
      </w:r>
      <w:r>
        <w:t>教师应注重基于核心素养来理解课程内容体系。核心素养内容化是课程内容部分的突出特点。每个学习主题的内容结构同化学观念、 科学思维、科学探究与实践、科学态度与责任高度契合，全面反映、落实了化学课程对核心素养的培养要求和课程目标。</w:t>
      </w:r>
      <w:r>
        <w:rPr>
          <w:b/>
        </w:rPr>
        <w:t>重视大概念统领是课程内容设计的重要理念</w:t>
      </w:r>
      <w:r>
        <w:t>，基于大概念可以帮助学生建构化学观念，形成化学学科思维方式和方法，树立正确的价值观，落实课程目标。</w:t>
      </w:r>
      <w:r>
        <w:rPr>
          <w:b/>
        </w:rPr>
        <w:t>教师应注重基于大概念来组织单元教学内容</w:t>
      </w:r>
      <w:r>
        <w:t>，发挥大概念的统摄作用。例如，“燃烧与灭火”教学单元帮助学生进一步发展“物质的变化与转化”大概念，认识燃烧与灭火的本质是可燃物的化学反应，引导学生建构化学变化的能量视角。进行教学设计时，应基于大概念结构化统整“燃烧条件的探究”“灭火的原理与方法”“化石燃料的开发与利用”等单元内容，发展学生的核心素养。</w:t>
      </w:r>
      <w:r>
        <w:rPr>
          <w:rFonts w:hint="eastAsia"/>
        </w:rPr>
        <w:t>本课题“学科核心素养导向下的初中化学单元教学实践研究”的方向及内容与课程标准倡导的课程理念与课程实施高度吻合。</w:t>
      </w:r>
    </w:p>
    <w:p w14:paraId="289B2D34">
      <w:pPr>
        <w:ind w:firstLine="420" w:firstLineChars="200"/>
        <w:rPr>
          <w:b/>
          <w:bCs/>
        </w:rPr>
      </w:pPr>
      <w:r>
        <w:rPr>
          <w:rFonts w:hint="eastAsia"/>
          <w:b/>
          <w:bCs/>
        </w:rPr>
        <w:t>2.基于新时代教研工作的需要</w:t>
      </w:r>
    </w:p>
    <w:p w14:paraId="72625933">
      <w:pPr>
        <w:ind w:firstLine="420" w:firstLineChars="200"/>
        <w:rPr>
          <w:sz w:val="18"/>
          <w:szCs w:val="18"/>
        </w:rP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786765</wp:posOffset>
                </wp:positionV>
                <wp:extent cx="5248275" cy="19050"/>
                <wp:effectExtent l="0" t="0" r="28575"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flipV="1">
                          <a:off x="0" y="0"/>
                          <a:ext cx="5248275" cy="19050"/>
                        </a:xfrm>
                        <a:prstGeom prst="line">
                          <a:avLst/>
                        </a:prstGeom>
                        <a:noFill/>
                        <a:ln w="6350">
                          <a:solidFill>
                            <a:schemeClr val="dk1">
                              <a:lumMod val="100000"/>
                              <a:lumOff val="0"/>
                            </a:schemeClr>
                          </a:solidFill>
                          <a:miter lim="800000"/>
                        </a:ln>
                      </wps:spPr>
                      <wps:bodyPr/>
                    </wps:wsp>
                  </a:graphicData>
                </a:graphic>
              </wp:anchor>
            </w:drawing>
          </mc:Choice>
          <mc:Fallback>
            <w:pict>
              <v:line id="Line 2" o:spid="_x0000_s1026" o:spt="20" style="position:absolute;left:0pt;flip:y;margin-top:61.95pt;height:1.5pt;width:413.25pt;mso-position-horizontal:right;mso-position-horizontal-relative:margin;z-index:251661312;mso-width-relative:page;mso-height-relative:page;" filled="f" stroked="t" coordsize="21600,21600" o:gfxdata="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KHu+rWAAAACAEAAA8AAAAAAAAAAQAgAAAAIgAAAGRycy9kb3ducmV2LnhtbFBLAQIUABQAAAAI&#10;AIdO4kD5Tl0u7wEAAPADAAAOAAAAAAAAAAEAIAAAACUBAABkcnMvZTJvRG9jLnhtbFBLBQYAAAAA&#10;BgAGAFkBAACGBQAAAAA=&#10;">
                <v:fill on="f" focussize="0,0"/>
                <v:stroke weight="0.5pt" color="#000000 [3216]" miterlimit="8" joinstyle="miter"/>
                <v:imagedata o:title=""/>
                <o:lock v:ext="edit" aspectratio="f"/>
              </v:line>
            </w:pict>
          </mc:Fallback>
        </mc:AlternateContent>
      </w:r>
      <w:r>
        <w:rPr>
          <w:rFonts w:hint="eastAsia"/>
        </w:rPr>
        <w:t>《教育部关于加强和改进新时代基础教育教研工作的意见》（教基〔2019〕14号）指出：教研工作是保障基础教育质量的重要支撑。长期以来，教研工作在推进课程改革、指导教学实践、促进教师发展等方面，发挥了十分重要的作用。进入新时代，面对发展素质教育、全面提高基础教育质量的新形势新任务新要求，</w:t>
      </w:r>
      <w:r>
        <w:rPr>
          <w:rFonts w:hint="eastAsia"/>
          <w:b/>
        </w:rPr>
        <w:t>教研工作还存在机构体系不完善、教研队伍不</w:t>
      </w:r>
      <w:r>
        <w:rPr>
          <w:rFonts w:hint="eastAsia"/>
          <w:b/>
          <w:lang w:val="en-US" w:eastAsia="zh-CN"/>
        </w:rPr>
        <w:t>*</w:t>
      </w:r>
      <w:r>
        <w:rPr>
          <w:rFonts w:hint="eastAsia" w:ascii="楷体" w:hAnsi="楷体" w:eastAsia="楷体"/>
          <w:sz w:val="18"/>
          <w:szCs w:val="18"/>
        </w:rPr>
        <w:t>本课题组长：艾璐；组员：董新伟、周晶、俞银龙、马云、凌娟、周贤、薛冰、赵变军、牛改艳、华叶艳</w:t>
      </w:r>
    </w:p>
    <w:p w14:paraId="07EF8902">
      <w:r>
        <w:rPr>
          <w:rFonts w:hint="eastAsia"/>
          <w:b/>
        </w:rPr>
        <w:t>健全、教研方式不科学</w:t>
      </w:r>
      <w:r>
        <w:rPr>
          <w:rFonts w:hint="eastAsia"/>
        </w:rPr>
        <w:t>等问题，急需加以解决。教研要</w:t>
      </w:r>
      <w:r>
        <w:rPr>
          <w:rFonts w:hint="eastAsia"/>
          <w:b/>
        </w:rPr>
        <w:t>坚持以习近平新时代中国特色社会主义思想为指导，全面贯彻党的教育方针，落实立德树人根本任务，遵循教育规律，树立科学的教育质量观，为构建德智体美劳全面培养的教育体系，</w:t>
      </w:r>
      <w:r>
        <w:rPr>
          <w:rFonts w:hint="eastAsia"/>
        </w:rPr>
        <w:t>发展素质教育，培养担当民族复兴大任的时代新人提供强有力的专业支撑。教研要</w:t>
      </w:r>
      <w:r>
        <w:rPr>
          <w:rFonts w:hint="eastAsia"/>
          <w:b/>
        </w:rPr>
        <w:t>服务学校教育教学，引领课程教学改革，提高教育教学质量；服务教师专业成长，指导教师改进教学方式，提高教书育人能力；</w:t>
      </w:r>
      <w:r>
        <w:rPr>
          <w:rFonts w:hint="eastAsia"/>
        </w:rPr>
        <w:t>服务学生全面发展，深入研究学生学习和成长规律，提高学生综合素质。强化校本教研。校本教研要</w:t>
      </w:r>
      <w:r>
        <w:rPr>
          <w:rFonts w:hint="eastAsia"/>
          <w:b/>
        </w:rPr>
        <w:t>立足学校实际，以实施新课程新教材、探索新方法新技术、提高教师专业能力为重点，着力增强教学设计的整体性、系统化，不断提高基于课程标准的教学水平</w:t>
      </w:r>
      <w:r>
        <w:rPr>
          <w:rFonts w:hint="eastAsia"/>
        </w:rPr>
        <w:t>。学校要健全校本教研制度，开展经常性教研活动，充分发挥教研组、备课组、年级组在研究学生学习、改进教学方法、优化作业设计、解决教学问题、指导家庭教育等方面的作用。</w:t>
      </w:r>
      <w:r>
        <w:rPr>
          <w:rFonts w:hint="eastAsia"/>
          <w:b/>
        </w:rPr>
        <w:t>突出全面育人研究</w:t>
      </w:r>
      <w:r>
        <w:rPr>
          <w:rFonts w:hint="eastAsia"/>
        </w:rPr>
        <w:t>。强化学科整体育人功能，深入开展内容、策略、方法、机制研究。</w:t>
      </w:r>
      <w:r>
        <w:rPr>
          <w:rFonts w:hint="eastAsia"/>
          <w:b/>
        </w:rPr>
        <w:t>加强关键环节研究。加强对课程、教学、作业和考试评价等育人关键环节研究。强化国家课程研究，指导学校和教师准确把握国家课程方案和课程标准，做好课程实施工作</w:t>
      </w:r>
      <w:r>
        <w:rPr>
          <w:rFonts w:hint="eastAsia"/>
        </w:rPr>
        <w:t>。创新教研工作方式。要根据不同学科、不同学段、不同教师的实际情况，因地制宜采用区域教研、网络教研、综合教研、主题教研以及教学展示、现场指导、项目研究等多种方式，提升教研工作的针对性、有效性和吸引力、创造力。积极探索信息技术背景下的教研模式改革。各地要对教研员每学期到学校讲授示范课、公开课，组织研究课，开展听评课和说课活动等提出明确要求；</w:t>
      </w:r>
      <w:r>
        <w:rPr>
          <w:rFonts w:hint="eastAsia"/>
          <w:b/>
        </w:rPr>
        <w:t>帮助乡村学校和薄弱学校提升教育教学质量</w:t>
      </w:r>
      <w:r>
        <w:rPr>
          <w:rFonts w:hint="eastAsia"/>
        </w:rPr>
        <w:t>。课题主持人艾璐同志为正衡中学副校长兼任常州天宁区初中化学教研员，课题组副组长董新伟同志为常州经开区中学化学教研员、江苏省中小学教研室中学化学网络教研员，两位教研员都坚信教研工作需要扎实的科研研究作为基础，</w:t>
      </w:r>
      <w:r>
        <w:rPr>
          <w:rFonts w:hint="eastAsia"/>
          <w:b/>
        </w:rPr>
        <w:t>科研求真教研求实，科研成果可以更好地服务于教研</w:t>
      </w:r>
      <w:r>
        <w:rPr>
          <w:rFonts w:hint="eastAsia"/>
        </w:rPr>
        <w:t>，将课题研究的过程融入跨区域教研活动之中，以科研的态度开展教研活动，使教研活动有理论的高度又有实践的深度，本课题“学科核心素养导向下的初中化学单元教学实践研究”带领教师更好地研究新课程标准，落地新课程方案，让教师更好地明白什么是新课程改革、为什么要进行课程改革以及如何进行教学改革，落地新课程新课标的素养育人价值功能。</w:t>
      </w:r>
    </w:p>
    <w:p w14:paraId="01D122C5">
      <w:pPr>
        <w:ind w:firstLine="420" w:firstLineChars="200"/>
        <w:rPr>
          <w:b/>
          <w:bCs/>
        </w:rPr>
      </w:pPr>
      <w:r>
        <w:rPr>
          <w:rFonts w:hint="eastAsia"/>
          <w:b/>
          <w:bCs/>
        </w:rPr>
        <w:t>3.基于深化教学改革行动的需要</w:t>
      </w:r>
    </w:p>
    <w:p w14:paraId="16A5D59E">
      <w:pPr>
        <w:pStyle w:val="9"/>
        <w:shd w:val="clear" w:color="auto" w:fill="FFFFFF"/>
        <w:spacing w:before="0" w:beforeAutospacing="0" w:after="0" w:afterAutospacing="0"/>
        <w:rPr>
          <w:rFonts w:asciiTheme="minorHAnsi" w:hAnsiTheme="minorHAnsi" w:eastAsiaTheme="minorEastAsia" w:cstheme="minorBidi"/>
          <w:kern w:val="2"/>
          <w:sz w:val="21"/>
          <w:szCs w:val="22"/>
        </w:rPr>
      </w:pPr>
      <w:r>
        <w:rPr>
          <w:rFonts w:hint="eastAsia" w:asciiTheme="minorHAnsi" w:hAnsiTheme="minorHAnsi" w:eastAsiaTheme="minorEastAsia" w:cstheme="minorBidi"/>
          <w:b/>
          <w:bCs/>
          <w:kern w:val="2"/>
          <w:sz w:val="21"/>
          <w:szCs w:val="22"/>
        </w:rPr>
        <w:t xml:space="preserve"> </w:t>
      </w:r>
      <w:r>
        <w:rPr>
          <w:rFonts w:asciiTheme="minorHAnsi" w:hAnsiTheme="minorHAnsi" w:eastAsiaTheme="minorEastAsia" w:cstheme="minorBidi"/>
          <w:b/>
          <w:bCs/>
          <w:kern w:val="2"/>
          <w:sz w:val="21"/>
          <w:szCs w:val="22"/>
        </w:rPr>
        <w:t xml:space="preserve">   </w:t>
      </w:r>
      <w:r>
        <w:rPr>
          <w:rFonts w:hint="eastAsia" w:asciiTheme="minorHAnsi" w:hAnsiTheme="minorHAnsi" w:eastAsiaTheme="minorEastAsia" w:cstheme="minorBidi"/>
          <w:kern w:val="2"/>
          <w:sz w:val="21"/>
          <w:szCs w:val="22"/>
        </w:rPr>
        <w:t>教育部办公厅印发的《基础教育课程教学改革深化行动方案》（教材厅函〔2023〕3号）指出：以习近平新时代中国特色社会主义思想为指导，坚持为党育人、为国育才，全面贯彻党的教育方针，落实立德树人根本任务，发展素质教育，促进教育公平。</w:t>
      </w:r>
      <w:r>
        <w:rPr>
          <w:rFonts w:hint="eastAsia" w:asciiTheme="minorHAnsi" w:hAnsiTheme="minorHAnsi" w:eastAsiaTheme="minorEastAsia" w:cstheme="minorBidi"/>
          <w:b/>
          <w:bCs/>
          <w:kern w:val="2"/>
          <w:sz w:val="21"/>
          <w:szCs w:val="22"/>
        </w:rPr>
        <w:t>深化课程教学改革，加强机制创新</w:t>
      </w:r>
      <w:r>
        <w:rPr>
          <w:rFonts w:hint="eastAsia" w:asciiTheme="minorHAnsi" w:hAnsiTheme="minorHAnsi" w:eastAsiaTheme="minorEastAsia" w:cstheme="minorBidi"/>
          <w:bCs/>
          <w:kern w:val="2"/>
          <w:sz w:val="21"/>
          <w:szCs w:val="22"/>
        </w:rPr>
        <w:t>，指导、发动各地和学校</w:t>
      </w:r>
      <w:r>
        <w:rPr>
          <w:rFonts w:hint="eastAsia" w:asciiTheme="minorHAnsi" w:hAnsiTheme="minorHAnsi" w:eastAsiaTheme="minorEastAsia" w:cstheme="minorBidi"/>
          <w:b/>
          <w:bCs/>
          <w:kern w:val="2"/>
          <w:sz w:val="21"/>
          <w:szCs w:val="22"/>
        </w:rPr>
        <w:t>深化育人关键环节和重点领域改革，更新教育理念，转变育人方式，</w:t>
      </w:r>
      <w:r>
        <w:rPr>
          <w:rFonts w:hint="eastAsia" w:asciiTheme="minorHAnsi" w:hAnsiTheme="minorHAnsi" w:eastAsiaTheme="minorEastAsia" w:cstheme="minorBidi"/>
          <w:bCs/>
          <w:kern w:val="2"/>
          <w:sz w:val="21"/>
          <w:szCs w:val="22"/>
        </w:rPr>
        <w:t>坚决扭转片面应试教育倾向，</w:t>
      </w:r>
      <w:r>
        <w:rPr>
          <w:rFonts w:hint="eastAsia" w:asciiTheme="minorHAnsi" w:hAnsiTheme="minorHAnsi" w:eastAsiaTheme="minorEastAsia" w:cstheme="minorBidi"/>
          <w:b/>
          <w:bCs/>
          <w:kern w:val="2"/>
          <w:sz w:val="21"/>
          <w:szCs w:val="22"/>
        </w:rPr>
        <w:t>切实提高育人水平</w:t>
      </w:r>
      <w:r>
        <w:rPr>
          <w:rFonts w:hint="eastAsia" w:asciiTheme="minorHAnsi" w:hAnsiTheme="minorHAnsi" w:eastAsiaTheme="minorEastAsia" w:cstheme="minorBidi"/>
          <w:bCs/>
          <w:kern w:val="2"/>
          <w:sz w:val="21"/>
          <w:szCs w:val="22"/>
        </w:rPr>
        <w:t>，促进学生德智体美劳全面发展。在课程实施过程中，</w:t>
      </w:r>
      <w:r>
        <w:rPr>
          <w:rFonts w:hint="eastAsia" w:asciiTheme="minorHAnsi" w:hAnsiTheme="minorHAnsi" w:eastAsiaTheme="minorEastAsia" w:cstheme="minorBidi"/>
          <w:b/>
          <w:bCs/>
          <w:kern w:val="2"/>
          <w:sz w:val="21"/>
          <w:szCs w:val="22"/>
        </w:rPr>
        <w:t>切实加强国家课程方案向地方、学校课程实施规划的转化工作。</w:t>
      </w:r>
      <w:r>
        <w:rPr>
          <w:rFonts w:hint="eastAsia" w:asciiTheme="minorHAnsi" w:hAnsiTheme="minorHAnsi" w:eastAsiaTheme="minorEastAsia" w:cstheme="minorBidi"/>
          <w:bCs/>
          <w:kern w:val="2"/>
          <w:sz w:val="21"/>
          <w:szCs w:val="22"/>
        </w:rPr>
        <w:t>坚持因地制宜“一地一计”、因校制宜“一校一策”，</w:t>
      </w:r>
      <w:r>
        <w:rPr>
          <w:rFonts w:hint="eastAsia" w:asciiTheme="minorHAnsi" w:hAnsiTheme="minorHAnsi" w:eastAsiaTheme="minorEastAsia" w:cstheme="minorBidi"/>
          <w:b/>
          <w:bCs/>
          <w:kern w:val="2"/>
          <w:sz w:val="21"/>
          <w:szCs w:val="22"/>
        </w:rPr>
        <w:t>把国家统一制定的育人“蓝图”细化为地方和学校的育人“施工图”，明确课程教学改革的具体路线、措施，提出困难问题破解之策。</w:t>
      </w:r>
      <w:r>
        <w:rPr>
          <w:rFonts w:hint="eastAsia" w:asciiTheme="minorHAnsi" w:hAnsiTheme="minorHAnsi" w:eastAsiaTheme="minorEastAsia" w:cstheme="minorBidi"/>
          <w:bCs/>
          <w:kern w:val="2"/>
          <w:sz w:val="21"/>
          <w:szCs w:val="22"/>
        </w:rPr>
        <w:t>坚持循证决策，健全监测反馈机制，持续优化改进课程实施规划。</w:t>
      </w:r>
      <w:r>
        <w:rPr>
          <w:rFonts w:hint="eastAsia" w:asciiTheme="minorHAnsi" w:hAnsiTheme="minorHAnsi" w:eastAsiaTheme="minorEastAsia" w:cstheme="minorBidi"/>
          <w:b/>
          <w:kern w:val="2"/>
          <w:sz w:val="21"/>
          <w:szCs w:val="22"/>
        </w:rPr>
        <w:t>教学方式变革行动落实课程方案和课程标准，全面推进教学方式变革</w:t>
      </w:r>
      <w:r>
        <w:rPr>
          <w:rFonts w:hint="eastAsia" w:asciiTheme="minorHAnsi" w:hAnsiTheme="minorHAnsi" w:eastAsiaTheme="minorEastAsia" w:cstheme="minorBidi"/>
          <w:kern w:val="2"/>
          <w:sz w:val="21"/>
          <w:szCs w:val="22"/>
        </w:rPr>
        <w:t>，通过实验区实验校试点先行、示范引领，着力解决重难点问题，通过精品课遴选、教学成果推广应用带动各地各校广泛参与，不断深化教学改革，提高教学质量。</w:t>
      </w:r>
      <w:r>
        <w:rPr>
          <w:rFonts w:hint="eastAsia" w:asciiTheme="minorHAnsi" w:hAnsiTheme="minorHAnsi" w:eastAsiaTheme="minorEastAsia" w:cstheme="minorBidi"/>
          <w:b/>
          <w:kern w:val="2"/>
          <w:sz w:val="21"/>
          <w:szCs w:val="22"/>
        </w:rPr>
        <w:t>实施教学改革重难点攻坚</w:t>
      </w:r>
      <w:r>
        <w:rPr>
          <w:rFonts w:hint="eastAsia" w:asciiTheme="minorHAnsi" w:hAnsiTheme="minorHAnsi" w:eastAsiaTheme="minorEastAsia" w:cstheme="minorBidi"/>
          <w:kern w:val="2"/>
          <w:sz w:val="21"/>
          <w:szCs w:val="22"/>
        </w:rPr>
        <w:t>。相应设立一批实验区、实验校，依托专业机构建立指导支持机制，</w:t>
      </w:r>
      <w:r>
        <w:rPr>
          <w:rFonts w:hint="eastAsia" w:asciiTheme="minorHAnsi" w:hAnsiTheme="minorHAnsi" w:eastAsiaTheme="minorEastAsia" w:cstheme="minorBidi"/>
          <w:b/>
          <w:kern w:val="2"/>
          <w:sz w:val="21"/>
          <w:szCs w:val="22"/>
        </w:rPr>
        <w:t>聚焦核心素养导向的教学设计、学科实践（实验教学）</w:t>
      </w:r>
      <w:r>
        <w:rPr>
          <w:rFonts w:hint="eastAsia" w:asciiTheme="minorHAnsi" w:hAnsiTheme="minorHAnsi" w:eastAsiaTheme="minorEastAsia" w:cstheme="minorBidi"/>
          <w:kern w:val="2"/>
          <w:sz w:val="21"/>
          <w:szCs w:val="22"/>
        </w:rPr>
        <w:t>、跨学科主题学习、作业设计、考试命题、综合素质评价等教学改革重点难点问题，探索不同发展水平地区和学校有效推进教学改革的实践模式。以基础教育精品课遴选工作为抓手，</w:t>
      </w:r>
      <w:r>
        <w:rPr>
          <w:rFonts w:hint="eastAsia" w:asciiTheme="minorHAnsi" w:hAnsiTheme="minorHAnsi" w:eastAsiaTheme="minorEastAsia" w:cstheme="minorBidi"/>
          <w:b/>
          <w:kern w:val="2"/>
          <w:sz w:val="21"/>
          <w:szCs w:val="22"/>
        </w:rPr>
        <w:t>引导广大教师深入研究课程教材内容和课堂教学规律，创新教学设计和教学方法</w:t>
      </w:r>
      <w:r>
        <w:rPr>
          <w:rFonts w:hint="eastAsia" w:asciiTheme="minorHAnsi" w:hAnsiTheme="minorHAnsi" w:eastAsiaTheme="minorEastAsia" w:cstheme="minorBidi"/>
          <w:kern w:val="2"/>
          <w:sz w:val="21"/>
          <w:szCs w:val="22"/>
        </w:rPr>
        <w:t>，组织各级优课展示交流活动，开展教学说课评课，示范</w:t>
      </w:r>
      <w:r>
        <w:rPr>
          <w:rFonts w:hint="eastAsia" w:asciiTheme="minorHAnsi" w:hAnsiTheme="minorHAnsi" w:eastAsiaTheme="minorEastAsia" w:cstheme="minorBidi"/>
          <w:b/>
          <w:kern w:val="2"/>
          <w:sz w:val="21"/>
          <w:szCs w:val="22"/>
        </w:rPr>
        <w:t>带动广大教师变革教与学方式</w:t>
      </w:r>
      <w:r>
        <w:rPr>
          <w:rFonts w:hint="eastAsia" w:asciiTheme="minorHAnsi" w:hAnsiTheme="minorHAnsi" w:eastAsiaTheme="minorEastAsia" w:cstheme="minorBidi"/>
          <w:kern w:val="2"/>
          <w:sz w:val="21"/>
          <w:szCs w:val="22"/>
        </w:rPr>
        <w:t>，尊重学生主体地位，发挥教师主导作用，注重启发式、互动式、探究式教学，引导学生主动思考、积极提问、自主探究。常州是教育部基础教育综合改革的实验区，本课题“学科核心素养导向下的初中化学单元教学实践研究”也贴合了新时代基础教育教育改革的方向及内容，即研究以“</w:t>
      </w:r>
      <w:r>
        <w:rPr>
          <w:rFonts w:hint="eastAsia" w:asciiTheme="minorHAnsi" w:hAnsiTheme="minorHAnsi" w:eastAsiaTheme="minorEastAsia" w:cstheme="minorBidi"/>
          <w:b/>
          <w:kern w:val="2"/>
          <w:sz w:val="21"/>
          <w:szCs w:val="22"/>
        </w:rPr>
        <w:t>教学方式变革行动落实课程方案和课程标准，全面推进教学方式变革”的初中化学教育教学实践行动。</w:t>
      </w:r>
    </w:p>
    <w:p w14:paraId="136B3CCE">
      <w:pPr>
        <w:ind w:firstLine="420" w:firstLineChars="200"/>
        <w:rPr>
          <w:b/>
          <w:bCs/>
        </w:rPr>
      </w:pPr>
      <w:r>
        <w:rPr>
          <w:rFonts w:hint="eastAsia"/>
          <w:b/>
          <w:bCs/>
        </w:rPr>
        <w:t>4.基于化学教学学术回归的需要</w:t>
      </w:r>
    </w:p>
    <w:p w14:paraId="31519C5A">
      <w:pPr>
        <w:ind w:firstLine="420" w:firstLineChars="200"/>
        <w:rPr>
          <w:rFonts w:ascii="宋体" w:hAnsi="宋体" w:cs="宋体"/>
          <w:szCs w:val="21"/>
        </w:rPr>
      </w:pPr>
      <w:r>
        <w:t>习近平总书记创造性地提出了新质生产力的概念和发展新质生产力的重大论断</w:t>
      </w:r>
      <w:r>
        <w:rPr>
          <w:rFonts w:hint="eastAsia"/>
        </w:rPr>
        <w:t>，</w:t>
      </w:r>
      <w:r>
        <w:t>形成了具有鲜明时代性和创造性的新质生产力理论。</w:t>
      </w:r>
      <w:r>
        <w:rPr>
          <w:rFonts w:hint="eastAsia"/>
        </w:rPr>
        <w:t>新时代倡导发展新质生产力，化学教学的新质生产力主要体现在将化学课程理念和教育理论转化为化学教学生产力，促进化学教师不断改进教学，以及通过化学课堂教学研究，促进化学教学经验的总结和推广。本课题“学科核心素养导向下的初中化学单元教学实践研究”基于将化学课程标准与课堂教学实践交叉组合有序排列的研究方法，是一种科学研究方式，其研究的学术价值主要体现在以下几个方面：</w:t>
      </w:r>
      <w:r>
        <w:rPr>
          <w:rFonts w:hint="eastAsia" w:ascii="宋体" w:hAnsi="宋体" w:cs="宋体"/>
          <w:b/>
          <w:szCs w:val="21"/>
        </w:rPr>
        <w:t>发展新理念。</w:t>
      </w:r>
      <w:r>
        <w:rPr>
          <w:rFonts w:hint="eastAsia" w:ascii="宋体" w:hAnsi="宋体" w:cs="宋体"/>
          <w:szCs w:val="21"/>
        </w:rPr>
        <w:t>通过学科</w:t>
      </w:r>
      <w:r>
        <w:rPr>
          <w:rFonts w:hint="eastAsia" w:ascii="宋体" w:hAnsi="宋体"/>
          <w:szCs w:val="21"/>
        </w:rPr>
        <w:t>核心素养导向下的初中化学单元教学实践研究</w:t>
      </w:r>
      <w:r>
        <w:rPr>
          <w:rFonts w:hint="eastAsia" w:ascii="宋体" w:hAnsi="宋体" w:cs="宋体"/>
          <w:szCs w:val="21"/>
        </w:rPr>
        <w:t>，深入探索学科</w:t>
      </w:r>
      <w:r>
        <w:rPr>
          <w:rFonts w:hint="eastAsia" w:ascii="宋体" w:hAnsi="宋体"/>
          <w:szCs w:val="21"/>
        </w:rPr>
        <w:t>核心素养导向下的初中化学单元教学实践研究</w:t>
      </w:r>
      <w:r>
        <w:rPr>
          <w:rFonts w:hint="eastAsia" w:ascii="宋体" w:hAnsi="宋体" w:cs="宋体"/>
          <w:szCs w:val="21"/>
        </w:rPr>
        <w:t>的落实途径与策略，不断发现新问题。通过分析新问题，为解决新问题积累新的经验和新的策略。</w:t>
      </w:r>
      <w:r>
        <w:rPr>
          <w:rFonts w:hint="eastAsia" w:ascii="宋体" w:hAnsi="宋体" w:cs="宋体"/>
          <w:b/>
          <w:szCs w:val="21"/>
        </w:rPr>
        <w:t>产生新经验。</w:t>
      </w:r>
      <w:r>
        <w:rPr>
          <w:rFonts w:hint="eastAsia" w:ascii="宋体" w:hAnsi="宋体" w:cs="宋体"/>
          <w:szCs w:val="21"/>
        </w:rPr>
        <w:t>通过学科</w:t>
      </w:r>
      <w:r>
        <w:rPr>
          <w:rFonts w:hint="eastAsia" w:ascii="宋体" w:hAnsi="宋体"/>
          <w:szCs w:val="21"/>
        </w:rPr>
        <w:t>核心素养导向下的初中化学单元教学实践研究</w:t>
      </w:r>
      <w:r>
        <w:rPr>
          <w:rFonts w:hint="eastAsia" w:ascii="宋体" w:hAnsi="宋体" w:cs="宋体"/>
          <w:szCs w:val="21"/>
        </w:rPr>
        <w:t>的途径与策略，变革</w:t>
      </w:r>
      <w:r>
        <w:rPr>
          <w:rFonts w:hint="eastAsia" w:ascii="宋体" w:hAnsi="宋体"/>
          <w:szCs w:val="21"/>
        </w:rPr>
        <w:t>初中化学教学的起点低、内容多、任务重、课时紧，知识点散、难度较大，迫于应试压力，教学过程往往容易走入“知识为本、升学为上”的怪圈</w:t>
      </w:r>
      <w:r>
        <w:rPr>
          <w:rFonts w:hint="eastAsia" w:ascii="宋体" w:hAnsi="宋体" w:cs="宋体"/>
          <w:szCs w:val="21"/>
        </w:rPr>
        <w:t>的现状，带动初中化学教学的变革和学生学习方式与环境的变革，从而在初中化学单元教学实践的策略与方法上有所突破，积累一些新的经验。</w:t>
      </w:r>
      <w:r>
        <w:rPr>
          <w:rFonts w:hint="eastAsia" w:ascii="宋体" w:hAnsi="宋体" w:cs="宋体"/>
          <w:b/>
          <w:szCs w:val="21"/>
        </w:rPr>
        <w:t>构建新模式。</w:t>
      </w:r>
      <w:r>
        <w:rPr>
          <w:rFonts w:hint="eastAsia" w:ascii="宋体" w:hAnsi="宋体" w:cs="宋体"/>
          <w:szCs w:val="21"/>
        </w:rPr>
        <w:t>通过学科</w:t>
      </w:r>
      <w:r>
        <w:rPr>
          <w:rFonts w:hint="eastAsia" w:ascii="宋体" w:hAnsi="宋体"/>
          <w:szCs w:val="21"/>
        </w:rPr>
        <w:t>核心素养导向下的初中化学单元教学实践研究，</w:t>
      </w:r>
      <w:r>
        <w:rPr>
          <w:rFonts w:hint="eastAsia" w:ascii="宋体" w:hAnsi="宋体" w:cs="宋体"/>
          <w:szCs w:val="21"/>
        </w:rPr>
        <w:t>从初中化学课堂“教-学-评一体化”的实际需要出发，通过“大单元设计与教学”实践，进行“教-学-评一体化”的变革与创新，从而促进教师单元教学观念的变革、丰富学校课程管理探索，构建单元教学新模式。</w:t>
      </w:r>
      <w:r>
        <w:rPr>
          <w:rFonts w:hint="eastAsia" w:ascii="宋体" w:hAnsi="宋体" w:cs="宋体"/>
          <w:b/>
          <w:szCs w:val="21"/>
        </w:rPr>
        <w:t>培养新教师。</w:t>
      </w:r>
      <w:r>
        <w:rPr>
          <w:rFonts w:hint="eastAsia" w:ascii="宋体" w:hAnsi="宋体" w:cs="宋体"/>
          <w:szCs w:val="21"/>
        </w:rPr>
        <w:t>通过学科</w:t>
      </w:r>
      <w:r>
        <w:rPr>
          <w:rFonts w:hint="eastAsia" w:ascii="宋体" w:hAnsi="宋体"/>
          <w:szCs w:val="21"/>
        </w:rPr>
        <w:t>核心素养导向下的初中化学单元教学实践研究，教师不断地更新教学理念，更新学科理解，更新教育观念，更新育人方式，更新学教关系，更新教学方式，更新教学技术，更新教学设计，更新学生实践实验活动，更新对课改的理解，更新对教研的认识，更新作业的设计，更新学科核心素养落地的方法与路径，开展新的初中化学教育教学</w:t>
      </w:r>
      <w:r>
        <w:rPr>
          <w:rFonts w:hint="eastAsia" w:ascii="宋体" w:hAnsi="宋体" w:cs="宋体"/>
          <w:b/>
          <w:szCs w:val="21"/>
        </w:rPr>
        <w:t>。倡导新教学。</w:t>
      </w:r>
      <w:r>
        <w:rPr>
          <w:rFonts w:hint="eastAsia" w:ascii="宋体" w:hAnsi="宋体"/>
          <w:szCs w:val="21"/>
        </w:rPr>
        <w:t>在课题研究与教学实践过程中教师的科研研究能力将得到发展，观察能力、设计能力、规划能力活动组织能力、反思能力等教育教学实践能力也将得到锻炼，这些能力对于教师来说都是教师教学素养提升的关键能力对教师的成长起着至关重要的作用，课题研究与深化教学样态的改革必将让过去教师在活动中以教为主的指导方式逐步过渡到以学为主体的活动形式，注重</w:t>
      </w:r>
      <w:r>
        <w:t>“做中学”“用中学”“创中学”</w:t>
      </w:r>
      <w:r>
        <w:rPr>
          <w:rFonts w:hint="eastAsia"/>
        </w:rPr>
        <w:t>。课题研究推动</w:t>
      </w:r>
      <w:r>
        <w:rPr>
          <w:rFonts w:hint="eastAsia" w:ascii="宋体" w:hAnsi="宋体"/>
          <w:szCs w:val="21"/>
        </w:rPr>
        <w:t>教师的主动研究意识，增强挖掘课程资源意识，提升教师专业水平，为教师专业发展找到合适的时机和途径，提升区域教育教学质量。</w:t>
      </w:r>
    </w:p>
    <w:p w14:paraId="729FBD90">
      <w:pPr>
        <w:ind w:firstLine="420" w:firstLineChars="200"/>
        <w:rPr>
          <w:rFonts w:ascii="宋体" w:hAnsi="宋体" w:cs="宋体"/>
          <w:szCs w:val="21"/>
        </w:rPr>
      </w:pPr>
      <w:r>
        <w:rPr>
          <w:b/>
          <w:bCs/>
        </w:rPr>
        <w:t>5</w:t>
      </w:r>
      <w:r>
        <w:rPr>
          <w:rFonts w:hint="eastAsia"/>
          <w:b/>
          <w:bCs/>
        </w:rPr>
        <w:t>.基于单元教学研究的应用价值</w:t>
      </w:r>
    </w:p>
    <w:p w14:paraId="414D719D">
      <w:pPr>
        <w:ind w:firstLine="420" w:firstLineChars="200"/>
      </w:pPr>
      <w:r>
        <w:rPr>
          <w:rFonts w:hint="eastAsia" w:ascii="宋体" w:hAnsi="宋体" w:cs="宋体"/>
          <w:b/>
          <w:szCs w:val="21"/>
        </w:rPr>
        <w:t>促进教师的学科专业理解力。</w:t>
      </w:r>
      <w:r>
        <w:rPr>
          <w:rFonts w:hint="eastAsia" w:ascii="宋体" w:hAnsi="宋体"/>
          <w:szCs w:val="21"/>
        </w:rPr>
        <w:t>单元教学需要教师能整体化、系统性地思考与规划整个初三化学教学体系，解决初三化学内容多课时少的现状，</w:t>
      </w:r>
      <w:r>
        <w:rPr>
          <w:rFonts w:hint="eastAsia" w:ascii="宋体" w:hAnsi="宋体" w:cs="宋体"/>
          <w:szCs w:val="21"/>
        </w:rPr>
        <w:t>提高初中化学教学的有效性和科学性，</w:t>
      </w:r>
      <w:r>
        <w:rPr>
          <w:rFonts w:hint="eastAsia" w:ascii="宋体" w:hAnsi="宋体"/>
          <w:szCs w:val="21"/>
        </w:rPr>
        <w:t>教师需要加强对初中化学知识体系的专业理解。</w:t>
      </w:r>
      <w:r>
        <w:rPr>
          <w:rFonts w:hint="eastAsia" w:ascii="宋体" w:hAnsi="宋体" w:cs="宋体"/>
          <w:b/>
          <w:szCs w:val="21"/>
        </w:rPr>
        <w:t>促进学校课程管理者的研究力</w:t>
      </w:r>
      <w:r>
        <w:rPr>
          <w:rFonts w:hint="eastAsia" w:ascii="宋体" w:hAnsi="宋体" w:cs="宋体"/>
          <w:szCs w:val="21"/>
        </w:rPr>
        <w:t>。本课题的研究内容产生于一线初中化学教师教学与学校课程管理的困境，属于每年初三化学毕业班教学亟待解决并加以落实的问题，以研究的视角开展日常教学工作，有助于学校课程管理者以课堂改革的协作者与促进者的身份参与课题研究。</w:t>
      </w:r>
      <w:r>
        <w:rPr>
          <w:rFonts w:hint="eastAsia" w:ascii="宋体" w:hAnsi="宋体" w:cs="宋体"/>
          <w:b/>
          <w:szCs w:val="21"/>
          <w:shd w:val="clear" w:color="auto" w:fill="FFFFFF"/>
        </w:rPr>
        <w:t>促进教师的教学设计力与课程开发能力。</w:t>
      </w:r>
      <w:r>
        <w:rPr>
          <w:rFonts w:hint="eastAsia" w:ascii="宋体" w:hAnsi="宋体" w:cs="宋体"/>
          <w:bCs/>
          <w:szCs w:val="21"/>
          <w:shd w:val="clear" w:color="auto" w:fill="FFFFFF"/>
        </w:rPr>
        <w:t>学科核心</w:t>
      </w:r>
      <w:r>
        <w:rPr>
          <w:rFonts w:hint="eastAsia" w:ascii="宋体" w:hAnsi="宋体"/>
          <w:szCs w:val="21"/>
        </w:rPr>
        <w:t>素养导向下的初中化学单元教学实践需要细化学科核心素养发展目标与学习内容载体之间的关联，系统地依据“课标、教材、学生”三方目标进行整合设计，并融入素养发展的价值追求，这必将促进教师的教学设计能力，也促进了教师基于国标课程进行校本化开发的能力。</w:t>
      </w:r>
      <w:r>
        <w:rPr>
          <w:rFonts w:hint="eastAsia" w:ascii="宋体" w:hAnsi="宋体" w:cs="宋体"/>
          <w:b/>
          <w:szCs w:val="21"/>
        </w:rPr>
        <w:t>促进学生的学习力。</w:t>
      </w:r>
      <w:r>
        <w:rPr>
          <w:rFonts w:hint="eastAsia" w:ascii="宋体" w:hAnsi="宋体" w:cs="宋体"/>
          <w:bCs/>
          <w:szCs w:val="21"/>
          <w:shd w:val="clear" w:color="auto" w:fill="FFFFFF"/>
        </w:rPr>
        <w:t>学科核心</w:t>
      </w:r>
      <w:r>
        <w:rPr>
          <w:rFonts w:hint="eastAsia" w:ascii="宋体" w:hAnsi="宋体"/>
          <w:szCs w:val="21"/>
        </w:rPr>
        <w:t>素养</w:t>
      </w:r>
      <w:r>
        <w:rPr>
          <w:rFonts w:hint="eastAsia" w:ascii="宋体" w:hAnsi="宋体" w:cs="宋体"/>
          <w:szCs w:val="21"/>
        </w:rPr>
        <w:t>导向下的初中化学单元设计教学与实践将更多的改变传统的课时教学中知识点单一、横向联系多、纵向关联少、概念</w:t>
      </w:r>
      <w:r>
        <w:rPr>
          <w:rFonts w:hint="eastAsia" w:ascii="宋体" w:hAnsi="宋体"/>
          <w:szCs w:val="21"/>
        </w:rPr>
        <w:t>教学快、习题操练多、实验做得少、追求答案多、发展思维少的现状，会更多的基于情境驱动、问题解决、主题教学、项目化研究等教学策略，强化相关基础知识内容的整合，强化基本概念与化学原理的应用，强化在真实的情境中解决比较复杂问题的能力，从而促进学生的学习力提升。</w:t>
      </w:r>
      <w:r>
        <w:rPr>
          <w:rFonts w:hint="eastAsia" w:ascii="宋体" w:hAnsi="宋体"/>
          <w:b/>
          <w:szCs w:val="21"/>
        </w:rPr>
        <w:t>为其他课程或学段开展基于素养发展的单元教学研究提供参照。</w:t>
      </w:r>
      <w:r>
        <w:rPr>
          <w:rFonts w:hint="eastAsia" w:ascii="宋体" w:hAnsi="宋体"/>
          <w:szCs w:val="21"/>
        </w:rPr>
        <w:t>通过学科核心</w:t>
      </w:r>
      <w:r>
        <w:rPr>
          <w:rFonts w:hint="eastAsia" w:ascii="宋体" w:hAnsi="宋体" w:cs="宋体"/>
          <w:szCs w:val="21"/>
        </w:rPr>
        <w:t>素养导向下的初中化学单元设计教学与实践</w:t>
      </w:r>
      <w:r>
        <w:rPr>
          <w:rFonts w:hint="eastAsia" w:ascii="宋体" w:hAnsi="宋体" w:cs="宋体"/>
          <w:szCs w:val="21"/>
          <w:shd w:val="clear" w:color="auto" w:fill="FFFFFF"/>
        </w:rPr>
        <w:t>研究取得的经验与思考，将为学校开展其他课程进行基于素养发展导向下的单元教学研究提供</w:t>
      </w:r>
      <w:r>
        <w:rPr>
          <w:rFonts w:hint="eastAsia" w:hAnsi="宋体"/>
          <w:bCs/>
          <w:snapToGrid w:val="0"/>
          <w:kern w:val="0"/>
          <w:szCs w:val="21"/>
        </w:rPr>
        <w:t>参考样本</w:t>
      </w:r>
      <w:r>
        <w:rPr>
          <w:rFonts w:hint="eastAsia" w:ascii="宋体" w:hAnsi="宋体" w:cs="宋体"/>
          <w:szCs w:val="21"/>
          <w:shd w:val="clear" w:color="auto" w:fill="FFFFFF"/>
        </w:rPr>
        <w:t>。研究将</w:t>
      </w:r>
      <w:r>
        <w:rPr>
          <w:rFonts w:hint="eastAsia" w:ascii="宋体" w:hAnsi="宋体" w:cs="宋体"/>
          <w:szCs w:val="21"/>
        </w:rPr>
        <w:t>增强教学的实效、并能</w:t>
      </w:r>
      <w:r>
        <w:rPr>
          <w:rFonts w:hint="eastAsia" w:ascii="宋体" w:hAnsi="宋体" w:cs="宋体"/>
          <w:szCs w:val="21"/>
          <w:shd w:val="clear" w:color="auto" w:fill="FFFFFF"/>
        </w:rPr>
        <w:t>从单学科走向多学科，从先行学校走向研究联盟校，提高教师教学研究与科研研究的能力，</w:t>
      </w:r>
      <w:r>
        <w:rPr>
          <w:rFonts w:hint="eastAsia" w:ascii="宋体" w:hAnsi="宋体" w:cs="宋体"/>
          <w:szCs w:val="21"/>
        </w:rPr>
        <w:t>优化学校课程育人的方式。</w:t>
      </w:r>
    </w:p>
    <w:p w14:paraId="23500186">
      <w:pPr>
        <w:ind w:firstLine="420" w:firstLineChars="200"/>
        <w:rPr>
          <w:b/>
          <w:bCs/>
        </w:rPr>
      </w:pPr>
      <w:r>
        <w:rPr>
          <w:rFonts w:hint="eastAsia"/>
          <w:b/>
          <w:bCs/>
        </w:rPr>
        <w:t>（二）概念与界定</w:t>
      </w:r>
    </w:p>
    <w:p w14:paraId="27F30744">
      <w:pPr>
        <w:ind w:firstLine="420" w:firstLineChars="200"/>
        <w:rPr>
          <w:bCs/>
        </w:rPr>
      </w:pPr>
      <w:r>
        <w:rPr>
          <w:rFonts w:ascii="Segoe UI Emoji" w:hAnsi="Segoe UI Emoji" w:eastAsiaTheme="minorHAnsi"/>
          <w:b/>
          <w:bCs/>
        </w:rPr>
        <w:t>1.素养：</w:t>
      </w:r>
      <w:r>
        <w:rPr>
          <w:rFonts w:ascii="Segoe UI Emoji" w:hAnsi="Segoe UI Emoji"/>
          <w:bCs/>
        </w:rPr>
        <w:t>素养的原始涵义为“人为适应环境而合力奋斗”。1959年罗伯特</w:t>
      </w:r>
      <w:r>
        <w:rPr>
          <w:rFonts w:ascii="Segoe UI Emoji" w:hAnsi="Segoe UI Emoji" w:eastAsia="微软雅黑" w:cs="微软雅黑"/>
          <w:bCs/>
        </w:rPr>
        <w:t>∙</w:t>
      </w:r>
      <w:r>
        <w:rPr>
          <w:rFonts w:ascii="Segoe UI Emoji" w:hAnsi="Segoe UI Emoji"/>
          <w:bCs/>
        </w:rPr>
        <w:t>W</w:t>
      </w:r>
      <w:r>
        <w:rPr>
          <w:rFonts w:ascii="Segoe UI Emoji" w:hAnsi="Segoe UI Emoji" w:eastAsia="微软雅黑" w:cs="微软雅黑"/>
          <w:bCs/>
        </w:rPr>
        <w:t>∙</w:t>
      </w:r>
      <w:r>
        <w:rPr>
          <w:rFonts w:ascii="Segoe UI Emoji" w:hAnsi="Segoe UI Emoji"/>
          <w:bCs/>
        </w:rPr>
        <w:t>怀特（美）在《对动机的再思考：素养的概念》一书中写到：“</w:t>
      </w:r>
      <w:r>
        <w:rPr>
          <w:rFonts w:hint="eastAsia"/>
          <w:bCs/>
        </w:rPr>
        <w:t>素养是指某个有机体和环境有效互动的能力”。学者杨向东认为“素养是个体后天习得的、能够适应和改造环境的可能性”。学者张华认为“素养是指人在特定情境中综合运用知识、技能和态度解决问题的高级能力与人性能力”。素养是应对未来复杂社会的能力。</w:t>
      </w:r>
    </w:p>
    <w:p w14:paraId="73E760A4">
      <w:pPr>
        <w:ind w:firstLine="420" w:firstLineChars="200"/>
        <w:rPr>
          <w:bCs/>
        </w:rPr>
      </w:pPr>
      <w:r>
        <w:rPr>
          <w:rFonts w:hint="eastAsia"/>
          <w:b/>
          <w:bCs/>
        </w:rPr>
        <w:t>2</w:t>
      </w:r>
      <w:r>
        <w:rPr>
          <w:b/>
          <w:bCs/>
        </w:rPr>
        <w:t>.</w:t>
      </w:r>
      <w:r>
        <w:rPr>
          <w:rFonts w:hint="eastAsia"/>
          <w:b/>
          <w:bCs/>
        </w:rPr>
        <w:t>核心素养：</w:t>
      </w:r>
      <w:r>
        <w:rPr>
          <w:rFonts w:hint="eastAsia"/>
          <w:bCs/>
        </w:rPr>
        <w:t>学者杨向东认为核心素养是指个体在应对2</w:t>
      </w:r>
      <w:r>
        <w:rPr>
          <w:bCs/>
        </w:rPr>
        <w:t>1</w:t>
      </w:r>
      <w:r>
        <w:rPr>
          <w:rFonts w:hint="eastAsia"/>
          <w:bCs/>
        </w:rPr>
        <w:t>世纪各种复杂的、不确定性的现代生活环境时所需的关键品质。学者张华认为当今世界共同追求的核心素养即协作、交往、批判性思维与创造性，核心素养亦称“2</w:t>
      </w:r>
      <w:r>
        <w:rPr>
          <w:bCs/>
        </w:rPr>
        <w:t>1</w:t>
      </w:r>
      <w:r>
        <w:rPr>
          <w:rFonts w:hint="eastAsia"/>
          <w:bCs/>
        </w:rPr>
        <w:t>世纪素养”，是人适应信息时代和知识社会的需要，解决复杂问题和适应不可预测情境的高级能力和人性能力。核心素养是对基本知识与基本技能的超越，其核心是创造性思维能力和复杂交往能力。核心素养具有时代性、综合性、跨领域性、复杂性。钟启泉教授指出人格品质和关键能力的总体描述就是核心素养。</w:t>
      </w:r>
    </w:p>
    <w:p w14:paraId="36ACC81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rPr>
      </w:pPr>
      <w:r>
        <w:rPr>
          <w:rFonts w:hint="eastAsia"/>
          <w:b/>
          <w:bCs/>
        </w:rPr>
        <w:t>3</w:t>
      </w:r>
      <w:r>
        <w:rPr>
          <w:b/>
          <w:bCs/>
        </w:rPr>
        <w:t>.</w:t>
      </w:r>
      <w:r>
        <w:rPr>
          <w:rFonts w:hint="eastAsia"/>
          <w:b/>
          <w:bCs/>
        </w:rPr>
        <w:t>学科核心素养：</w:t>
      </w:r>
      <w:r>
        <w:rPr>
          <w:rFonts w:hint="eastAsia"/>
          <w:bCs/>
        </w:rPr>
        <w:t>此处学科专指化学学科。2</w:t>
      </w:r>
      <w:r>
        <w:rPr>
          <w:bCs/>
        </w:rPr>
        <w:t>017</w:t>
      </w:r>
      <w:r>
        <w:rPr>
          <w:rFonts w:hint="eastAsia"/>
          <w:bCs/>
        </w:rPr>
        <w:t>版高中化学课程标准规定化学学科核心素养有五大方面的内容：宏观辨识与微观探析、证据推理与模型认知、变化观念与平衡思想、科学探究与创新意识、科学精神与社会责任。义务教育的学科核心素养尽管目前尚未出台，但肯定是高度相关、一脉相承。北师大王磊教授等认为“宏观辨识与微观探析、变化观念与平衡思想”既是化学学科观念，又是化学特征的思维视角和方式；“证据推理与模型认知”是化学特征的思维方式，也是化学学习的过程基础；“科学探究与创新意识”是化学学科实践能力也是研究化学的途径与方法，是培养化学学科关键能力与必备品格的核心；“科学精神与社会责任”是化学学科的价值追求和化学课程对学生价值观发展的贡献。</w:t>
      </w:r>
      <w:r>
        <w:rPr>
          <w:rFonts w:hint="eastAsia" w:asciiTheme="minorEastAsia" w:hAnsiTheme="minorEastAsia" w:eastAsiaTheme="minorEastAsia" w:cstheme="minorEastAsia"/>
          <w:b w:val="0"/>
          <w:bCs/>
          <w:szCs w:val="21"/>
        </w:rPr>
        <w:t>义务教育</w:t>
      </w:r>
      <w:r>
        <w:rPr>
          <w:rFonts w:hint="eastAsia" w:asciiTheme="minorEastAsia" w:hAnsiTheme="minorEastAsia" w:eastAsiaTheme="minorEastAsia" w:cstheme="minorEastAsia"/>
          <w:b w:val="0"/>
          <w:bCs/>
          <w:szCs w:val="21"/>
          <w:lang w:val="en-US" w:eastAsia="zh-CN"/>
        </w:rPr>
        <w:t>化学课程的</w:t>
      </w:r>
      <w:r>
        <w:rPr>
          <w:rFonts w:hint="eastAsia" w:asciiTheme="minorEastAsia" w:hAnsiTheme="minorEastAsia" w:eastAsiaTheme="minorEastAsia" w:cstheme="minorEastAsia"/>
          <w:b w:val="0"/>
          <w:bCs/>
          <w:szCs w:val="21"/>
        </w:rPr>
        <w:t>核心素养</w:t>
      </w:r>
      <w:r>
        <w:rPr>
          <w:rFonts w:hint="eastAsia" w:asciiTheme="minorEastAsia" w:hAnsiTheme="minorEastAsia" w:eastAsiaTheme="minorEastAsia" w:cstheme="minorEastAsia"/>
          <w:b w:val="0"/>
          <w:bCs/>
          <w:szCs w:val="21"/>
          <w:lang w:val="en-US" w:eastAsia="zh-CN"/>
        </w:rPr>
        <w:t>包含化学观念、科学思维、科学探究与实践、科学态度与责任四个方面</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从核心素养维度的内容上看，初、高中化学学习阶段核心素养要素的表述方式和数量似有差异，但从本质上看</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者表达的含义又是基本相同的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初中的“科学探究与实践”“科学态度与责</w:t>
      </w:r>
      <w:r>
        <w:rPr>
          <w:rFonts w:hint="eastAsia" w:asciiTheme="minorEastAsia" w:hAnsiTheme="minorEastAsia" w:eastAsiaTheme="minorEastAsia" w:cstheme="minorEastAsia"/>
          <w:lang w:val="en-US" w:eastAsia="zh-CN"/>
        </w:rPr>
        <w:t>任”，分别对应于高中的“科学探究与创新意识”“科学态度与社会责任”；初中的“化学观念”素养涵盖了对“组成与结构、性质与应用、化学反应与规律”的认识，高中则划分为“宏观辨识与微观探析”“变化观念与平衡思想”2大素养，其内容都属于“化学观念”；高中的“证据推理与模型认知”素养，则是初中“科学思维”素养的显性化和深化。</w:t>
      </w:r>
    </w:p>
    <w:p w14:paraId="5D4690A5">
      <w:pPr>
        <w:ind w:firstLine="420" w:firstLineChars="200"/>
        <w:rPr>
          <w:bCs/>
        </w:rPr>
      </w:pPr>
      <w:r>
        <w:rPr>
          <w:rFonts w:hint="eastAsia"/>
          <w:b/>
          <w:bCs/>
        </w:rPr>
        <w:t>4</w:t>
      </w:r>
      <w:r>
        <w:rPr>
          <w:b/>
          <w:bCs/>
        </w:rPr>
        <w:t>.</w:t>
      </w:r>
      <w:r>
        <w:rPr>
          <w:rFonts w:hint="eastAsia"/>
          <w:b/>
          <w:bCs/>
        </w:rPr>
        <w:t>初中化学：</w:t>
      </w:r>
      <w:r>
        <w:rPr>
          <w:rFonts w:hint="eastAsia"/>
          <w:bCs/>
        </w:rPr>
        <w:t>初中化学是指义务教育初中学校开展化学教学的教学内容与学生学习内容。</w:t>
      </w:r>
    </w:p>
    <w:p w14:paraId="6488E035">
      <w:pPr>
        <w:ind w:firstLine="420" w:firstLineChars="200"/>
        <w:rPr>
          <w:bCs/>
        </w:rPr>
      </w:pPr>
      <w:r>
        <w:rPr>
          <w:rFonts w:hint="eastAsia"/>
          <w:b/>
          <w:bCs/>
        </w:rPr>
        <w:t>5</w:t>
      </w:r>
      <w:r>
        <w:rPr>
          <w:b/>
          <w:bCs/>
        </w:rPr>
        <w:t>.</w:t>
      </w:r>
      <w:r>
        <w:rPr>
          <w:rFonts w:hint="eastAsia"/>
          <w:b/>
          <w:bCs/>
        </w:rPr>
        <w:t>单元教学：</w:t>
      </w:r>
      <w:r>
        <w:rPr>
          <w:rFonts w:hint="eastAsia"/>
          <w:bCs/>
        </w:rPr>
        <w:t>单元教学是指学科教师基于对课程标准、教材解读与分析的基础上，结合自己的理解以及对学情的把握，突破传统的课程单一课时设计体系，将教学内容按一定的标准分类、重新整合，组成不同的教学单元，明确单元对于实施核心素养的作用和具体的阶段任务，进行教学设计与教学实施的过程。因此，单元教学是基于教师的P</w:t>
      </w:r>
      <w:r>
        <w:rPr>
          <w:bCs/>
        </w:rPr>
        <w:t>CK</w:t>
      </w:r>
      <w:r>
        <w:rPr>
          <w:rFonts w:hint="eastAsia"/>
          <w:bCs/>
        </w:rPr>
        <w:t>（学科教学知识）结构或者是学科教学团队达成共识的学科理解，按照学科知识的逻辑结构、学生学习的序，或以相关主题、某一情境和具体任务为主线整合或重组教学单元内容，组成若干个相互衔接、相对完整、逻辑关联的教学阶段，由这些教学阶段有机组合成的结构单元的教学。</w:t>
      </w:r>
    </w:p>
    <w:p w14:paraId="3BCE2714">
      <w:pPr>
        <w:ind w:firstLine="420" w:firstLineChars="200"/>
        <w:rPr>
          <w:bCs/>
        </w:rPr>
      </w:pPr>
      <w:r>
        <w:rPr>
          <w:rFonts w:hint="eastAsia"/>
          <w:b/>
          <w:bCs/>
        </w:rPr>
        <w:t>6</w:t>
      </w:r>
      <w:r>
        <w:rPr>
          <w:b/>
          <w:bCs/>
        </w:rPr>
        <w:t>.</w:t>
      </w:r>
      <w:r>
        <w:rPr>
          <w:rFonts w:hint="eastAsia"/>
          <w:b/>
          <w:bCs/>
        </w:rPr>
        <w:t>学科核心素养导向下的初中化学单元教学实践研究：</w:t>
      </w:r>
      <w:r>
        <w:rPr>
          <w:rFonts w:hint="eastAsia"/>
          <w:bCs/>
        </w:rPr>
        <w:t>是指研究者在落实立德树人根本任务、全面发展学生核心素养的大背景下，依据课程标准，充分认识学生核心素养发展目标和化学学科核心素养目标与初中化学教学实施之间的关系基础上开展的实践研究，通过对初中化学教学内容进行学科核心素养导向下的单元教学整合设计与教学实践，优化教学方案、提高教学实效、强化学科育人价值，促进教师的教育科研能力和对教学内容系统化设计的能力；提高学生在单元学习活动中能获取相关的知识和解决实际问题的能力，促进学生深度学习、有利于学生对所学知识的结构化掌握与储存，提升学生对学科知识的本真价值再认识。通过主题化、项目式、问题解决式的单元教学设计与实践，切实有效提高课堂教学的有效性，充分体现单元教学的意义，发展学生的关键能力、必备品格和核心素养，促进中学生综合素质的全面提升。</w:t>
      </w:r>
    </w:p>
    <w:p w14:paraId="7A7C1DA8">
      <w:pPr>
        <w:ind w:firstLine="420" w:firstLineChars="200"/>
        <w:rPr>
          <w:b/>
          <w:bCs/>
        </w:rPr>
      </w:pPr>
      <w:r>
        <w:rPr>
          <w:rFonts w:hint="eastAsia"/>
          <w:b/>
          <w:bCs/>
        </w:rPr>
        <w:t>（三）目标与内容</w:t>
      </w:r>
    </w:p>
    <w:p w14:paraId="0762D037">
      <w:pPr>
        <w:ind w:firstLine="420" w:firstLineChars="200"/>
        <w:rPr>
          <w:b/>
          <w:bCs/>
        </w:rPr>
      </w:pPr>
      <w:r>
        <w:rPr>
          <w:rFonts w:hint="eastAsia"/>
          <w:b/>
          <w:bCs/>
        </w:rPr>
        <w:t>研究目标：</w:t>
      </w:r>
    </w:p>
    <w:p w14:paraId="2CB4D637">
      <w:pPr>
        <w:ind w:firstLine="420" w:firstLineChars="200"/>
        <w:rPr>
          <w:bCs/>
        </w:rPr>
      </w:pPr>
      <w:r>
        <w:rPr>
          <w:rFonts w:hint="eastAsia"/>
          <w:bCs/>
        </w:rPr>
        <w:t>1.通过课题研究，开展学科核心素养导向下的初中化学单元教学实践研究，系统地设计单元教学的各要素，提升教师开展单元教学实践的研究、设计、开发的能力，激发课题组成员运用知识、经验、技能再创造的潜能，</w:t>
      </w:r>
      <w:r>
        <w:rPr>
          <w:rFonts w:hint="eastAsia"/>
          <w:b/>
          <w:bCs/>
        </w:rPr>
        <w:t>做单元教学课程资源的开发者</w:t>
      </w:r>
      <w:r>
        <w:rPr>
          <w:rFonts w:hint="eastAsia"/>
          <w:bCs/>
        </w:rPr>
        <w:t>。</w:t>
      </w:r>
    </w:p>
    <w:p w14:paraId="41561128">
      <w:pPr>
        <w:ind w:firstLine="420" w:firstLineChars="200"/>
        <w:rPr>
          <w:bCs/>
        </w:rPr>
      </w:pPr>
      <w:r>
        <w:rPr>
          <w:rFonts w:hint="eastAsia"/>
          <w:bCs/>
        </w:rPr>
        <w:t>2</w:t>
      </w:r>
      <w:r>
        <w:rPr>
          <w:bCs/>
        </w:rPr>
        <w:t>.</w:t>
      </w:r>
      <w:r>
        <w:rPr>
          <w:rFonts w:hint="eastAsia"/>
          <w:bCs/>
        </w:rPr>
        <w:t>通过课题研究，开展学科核心素养导向下的初中化学单元教学在课堂教学中的有效实践，推动学科核心素养发展目标与单元教学目标的对接，探索形式多样的初中化学教与学的模式和化学单元教学融合，通过单元教学促进学生对知识和方法的应用与理解，有效转变教师的教学方式和学生的学习方式，努力</w:t>
      </w:r>
      <w:r>
        <w:rPr>
          <w:bCs/>
        </w:rPr>
        <w:t>在</w:t>
      </w:r>
      <w:r>
        <w:rPr>
          <w:rFonts w:hint="eastAsia"/>
          <w:bCs/>
        </w:rPr>
        <w:t>单元</w:t>
      </w:r>
      <w:r>
        <w:rPr>
          <w:bCs/>
        </w:rPr>
        <w:t>教学中培养学生的</w:t>
      </w:r>
      <w:r>
        <w:rPr>
          <w:rFonts w:hint="eastAsia"/>
          <w:bCs/>
        </w:rPr>
        <w:t>学业水平、思维能力和</w:t>
      </w:r>
      <w:r>
        <w:rPr>
          <w:bCs/>
        </w:rPr>
        <w:t>创新精神</w:t>
      </w:r>
      <w:r>
        <w:rPr>
          <w:rFonts w:hint="eastAsia"/>
          <w:bCs/>
        </w:rPr>
        <w:t>，</w:t>
      </w:r>
      <w:r>
        <w:rPr>
          <w:rFonts w:hint="eastAsia"/>
          <w:b/>
          <w:bCs/>
        </w:rPr>
        <w:t>做单元教学课程资源的实践者</w:t>
      </w:r>
      <w:r>
        <w:rPr>
          <w:rFonts w:hint="eastAsia"/>
          <w:bCs/>
        </w:rPr>
        <w:t>。</w:t>
      </w:r>
    </w:p>
    <w:p w14:paraId="1E319C2A">
      <w:pPr>
        <w:ind w:firstLine="420" w:firstLineChars="200"/>
        <w:rPr>
          <w:bCs/>
        </w:rPr>
      </w:pPr>
      <w:r>
        <w:rPr>
          <w:rFonts w:hint="eastAsia"/>
          <w:bCs/>
        </w:rPr>
        <w:t>3</w:t>
      </w:r>
      <w:r>
        <w:rPr>
          <w:bCs/>
        </w:rPr>
        <w:t>.</w:t>
      </w:r>
      <w:r>
        <w:rPr>
          <w:rFonts w:hint="eastAsia"/>
          <w:bCs/>
        </w:rPr>
        <w:t>通过课题研究，分享优秀的学科核心素养导向下的初中化学单元教学案例，增强课题参与者之间优势互补、开拓进取的团队合作精神，共建共享优质资源、</w:t>
      </w:r>
      <w:r>
        <w:rPr>
          <w:bCs/>
        </w:rPr>
        <w:t>分享经验</w:t>
      </w:r>
      <w:r>
        <w:rPr>
          <w:rFonts w:hint="eastAsia"/>
          <w:bCs/>
        </w:rPr>
        <w:t>、思想</w:t>
      </w:r>
      <w:r>
        <w:rPr>
          <w:bCs/>
        </w:rPr>
        <w:t>和智慧</w:t>
      </w:r>
      <w:r>
        <w:rPr>
          <w:rFonts w:hint="eastAsia"/>
          <w:bCs/>
        </w:rPr>
        <w:t>，服务师生，提升课堂教学效能，</w:t>
      </w:r>
      <w:r>
        <w:rPr>
          <w:rFonts w:hint="eastAsia"/>
          <w:b/>
          <w:bCs/>
        </w:rPr>
        <w:t>做学校课堂变革与课程改革的担当者</w:t>
      </w:r>
      <w:r>
        <w:rPr>
          <w:rFonts w:hint="eastAsia"/>
          <w:bCs/>
        </w:rPr>
        <w:t>。</w:t>
      </w:r>
    </w:p>
    <w:p w14:paraId="6A7C2D80">
      <w:pPr>
        <w:ind w:firstLine="420" w:firstLineChars="200"/>
        <w:rPr>
          <w:bCs/>
        </w:rPr>
      </w:pPr>
      <w:r>
        <w:rPr>
          <w:rFonts w:hint="eastAsia"/>
          <w:bCs/>
        </w:rPr>
        <w:t>4</w:t>
      </w:r>
      <w:r>
        <w:rPr>
          <w:bCs/>
        </w:rPr>
        <w:t>.</w:t>
      </w:r>
      <w:r>
        <w:rPr>
          <w:rFonts w:hint="eastAsia"/>
          <w:bCs/>
        </w:rPr>
        <w:t>通过课题研究的引领，促进本校、本区域优秀初中化学教师基于学科核心素养发展导向下的单元教学设计与开发的能力、拓展中学化学教育教学研究的内涵、视野，形成可供推广的一般经验，辐射研究成果，提升本地区化学教师在该领域的教科研能力与实力，</w:t>
      </w:r>
      <w:r>
        <w:rPr>
          <w:rFonts w:hint="eastAsia"/>
          <w:b/>
          <w:bCs/>
        </w:rPr>
        <w:t>做中学化学单元教学研究的引领者。</w:t>
      </w:r>
    </w:p>
    <w:p w14:paraId="5A015B5B">
      <w:pPr>
        <w:ind w:firstLine="420" w:firstLineChars="200"/>
        <w:rPr>
          <w:b/>
          <w:bCs/>
        </w:rPr>
      </w:pPr>
      <w:r>
        <w:rPr>
          <w:rFonts w:hint="eastAsia"/>
          <w:b/>
          <w:bCs/>
        </w:rPr>
        <w:t>研究内容：</w:t>
      </w:r>
    </w:p>
    <w:p w14:paraId="1E75AC34">
      <w:pPr>
        <w:ind w:firstLine="420" w:firstLineChars="200"/>
        <w:rPr>
          <w:b/>
          <w:bCs/>
        </w:rPr>
      </w:pPr>
      <w:r>
        <w:rPr>
          <w:rFonts w:hint="eastAsia"/>
          <w:b/>
          <w:bCs/>
        </w:rPr>
        <w:t>1</w:t>
      </w:r>
      <w:r>
        <w:rPr>
          <w:b/>
          <w:bCs/>
        </w:rPr>
        <w:t>.</w:t>
      </w:r>
      <w:r>
        <w:rPr>
          <w:rFonts w:hint="eastAsia"/>
          <w:b/>
          <w:bCs/>
        </w:rPr>
        <w:t>学科核心素养导向下的初中化学单元教学实践的价值旨归研究</w:t>
      </w:r>
    </w:p>
    <w:p w14:paraId="221E259B">
      <w:pPr>
        <w:ind w:firstLine="420" w:firstLineChars="200"/>
      </w:pPr>
      <w:r>
        <w:rPr>
          <w:rFonts w:hint="eastAsia"/>
        </w:rPr>
        <w:t>查阅文献，分析文献内涵，了解了国内外研究动态，跟进新时代教育改革步伐，明确学科核心素养导向下的初中化学单元教学实践的价值。</w:t>
      </w:r>
    </w:p>
    <w:p w14:paraId="0A69DE6F">
      <w:pPr>
        <w:ind w:firstLine="420"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学科核心素养导向下的初中化学单元教学实践的方法与路径研究</w:t>
      </w:r>
    </w:p>
    <w:p w14:paraId="56026A62">
      <w:pPr>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系统地对</w:t>
      </w:r>
      <w:r>
        <w:rPr>
          <w:rFonts w:hint="eastAsia" w:ascii="宋体" w:hAnsi="宋体"/>
          <w:color w:val="000000" w:themeColor="text1"/>
          <w:szCs w:val="21"/>
          <w:lang w:val="en-US" w:eastAsia="zh-CN"/>
          <w14:textFill>
            <w14:solidFill>
              <w14:schemeClr w14:val="tx1"/>
            </w14:solidFill>
          </w14:textFill>
        </w:rPr>
        <w:t>义教</w:t>
      </w:r>
      <w:r>
        <w:rPr>
          <w:rFonts w:hint="eastAsia"/>
          <w:bCs/>
          <w:color w:val="000000" w:themeColor="text1"/>
          <w14:textFill>
            <w14:solidFill>
              <w14:schemeClr w14:val="tx1"/>
            </w14:solidFill>
          </w14:textFill>
        </w:rPr>
        <w:t>化学新课标核心素养目标与义教化学教材核心内容进行交叉有序列化的单元设计研究，围绕</w:t>
      </w:r>
      <w:r>
        <w:rPr>
          <w:rFonts w:hint="eastAsia" w:ascii="宋体" w:hAnsi="宋体"/>
          <w:color w:val="000000" w:themeColor="text1"/>
          <w:szCs w:val="21"/>
          <w14:textFill>
            <w14:solidFill>
              <w14:schemeClr w14:val="tx1"/>
            </w14:solidFill>
          </w14:textFill>
        </w:rPr>
        <w:t>单元教学设计要素设计学科核心素养导向下的初中化学单元主题、单元课时、单元目标、单元内容、单元评价、单元实施等实施路径与策略。</w:t>
      </w:r>
    </w:p>
    <w:p w14:paraId="09E337E6">
      <w:pPr>
        <w:ind w:firstLine="420" w:firstLineChars="200"/>
        <w:rPr>
          <w:b/>
          <w:bCs/>
        </w:rPr>
      </w:pPr>
      <w:r>
        <w:rPr>
          <w:rFonts w:hint="eastAsia"/>
          <w:b/>
        </w:rPr>
        <w:t>3</w:t>
      </w:r>
      <w:r>
        <w:rPr>
          <w:b/>
        </w:rPr>
        <w:t>.</w:t>
      </w:r>
      <w:r>
        <w:rPr>
          <w:rFonts w:hint="eastAsia"/>
          <w:b/>
          <w:bCs/>
        </w:rPr>
        <w:t>化学课标核心素养导向下的初中化学单元教学实践的</w:t>
      </w:r>
      <w:r>
        <w:rPr>
          <w:rFonts w:hint="eastAsia"/>
          <w:b/>
          <w:bCs/>
          <w:lang w:val="en-US" w:eastAsia="zh-CN"/>
        </w:rPr>
        <w:t>课例</w:t>
      </w:r>
      <w:r>
        <w:rPr>
          <w:rFonts w:hint="eastAsia"/>
          <w:b/>
          <w:bCs/>
        </w:rPr>
        <w:t>研究</w:t>
      </w:r>
    </w:p>
    <w:p w14:paraId="61976EBE">
      <w:pPr>
        <w:ind w:firstLine="420" w:firstLineChars="200"/>
      </w:pPr>
      <w:r>
        <w:rPr>
          <w:rFonts w:hint="eastAsia" w:ascii="宋体" w:hAnsi="宋体"/>
          <w:szCs w:val="21"/>
        </w:rPr>
        <w:t>围绕实施方法与路径探索学科核心素养导向下的初中化学单元教学实践的课时设置、课堂实施、教学组织、学习方式、教学评价、学业测评等实践操作方案与范式。创新教学设计和教学方法，开展核心素养导向下的初中化学单元教学实践行动研究，形成系列化典型性教学实践课例。</w:t>
      </w:r>
    </w:p>
    <w:p w14:paraId="30C4D79C">
      <w:pPr>
        <w:ind w:firstLine="420" w:firstLineChars="200"/>
      </w:pPr>
      <w:r>
        <w:rPr>
          <w:rFonts w:hint="eastAsia"/>
          <w:b/>
          <w:lang w:val="en-US" w:eastAsia="zh-CN"/>
        </w:rPr>
        <w:t>4</w:t>
      </w:r>
      <w:r>
        <w:rPr>
          <w:b/>
        </w:rPr>
        <w:t>.</w:t>
      </w:r>
      <w:r>
        <w:rPr>
          <w:rFonts w:hint="eastAsia"/>
          <w:b/>
          <w:bCs/>
        </w:rPr>
        <w:t xml:space="preserve"> 实施核心素养导向下的初中化学单元教学实践的实践模型研究</w:t>
      </w:r>
    </w:p>
    <w:p w14:paraId="765A0E2B">
      <w:pPr>
        <w:ind w:firstLine="420" w:firstLineChars="200"/>
        <w:rPr>
          <w:szCs w:val="21"/>
        </w:rPr>
      </w:pPr>
      <w:r>
        <w:rPr>
          <w:rFonts w:hint="eastAsia"/>
        </w:rPr>
        <w:t>通过核心素养导向下的初中化学单元教学实践行动研究，</w:t>
      </w:r>
      <w:r>
        <w:rPr>
          <w:rFonts w:hint="eastAsia"/>
          <w:lang w:val="en-US" w:eastAsia="zh-CN"/>
        </w:rPr>
        <w:t>进行</w:t>
      </w:r>
      <w:r>
        <w:rPr>
          <w:rFonts w:hint="eastAsia" w:asciiTheme="minorEastAsia" w:hAnsiTheme="minorEastAsia" w:eastAsiaTheme="minorEastAsia" w:cstheme="minorEastAsia"/>
          <w:sz w:val="21"/>
          <w:szCs w:val="21"/>
          <w:lang w:val="en-US" w:eastAsia="zh-CN"/>
        </w:rPr>
        <w:t>基于义务教育化学课程标准（2022版），在化学观念、科学思维、科学探究与实践、科学态度与责任四大化学课程核心素养导向下，</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物质的性质与应用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物质的组成与结构</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物质的化学变化</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化学与社会·跨学科实践</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四个</w:t>
      </w:r>
      <w:r>
        <w:rPr>
          <w:rFonts w:hint="eastAsia" w:asciiTheme="minorEastAsia" w:hAnsiTheme="minorEastAsia" w:eastAsiaTheme="minorEastAsia" w:cstheme="minorEastAsia"/>
          <w:sz w:val="21"/>
          <w:szCs w:val="21"/>
        </w:rPr>
        <w:t>大</w:t>
      </w:r>
      <w:r>
        <w:rPr>
          <w:rFonts w:hint="eastAsia" w:asciiTheme="minorEastAsia" w:hAnsiTheme="minorEastAsia" w:eastAsiaTheme="minorEastAsia" w:cstheme="minorEastAsia"/>
          <w:sz w:val="21"/>
          <w:szCs w:val="21"/>
          <w:lang w:val="en-US" w:eastAsia="zh-CN"/>
        </w:rPr>
        <w:t>概念</w:t>
      </w:r>
      <w:r>
        <w:rPr>
          <w:rFonts w:hint="eastAsia" w:asciiTheme="minorEastAsia" w:hAnsiTheme="minorEastAsia" w:eastAsiaTheme="minorEastAsia" w:cstheme="minorEastAsia"/>
          <w:sz w:val="21"/>
          <w:szCs w:val="21"/>
        </w:rPr>
        <w:t>主题划分单元教学</w:t>
      </w:r>
      <w:r>
        <w:rPr>
          <w:rFonts w:hint="eastAsia" w:asciiTheme="minorEastAsia" w:hAnsiTheme="minorEastAsia" w:eastAsiaTheme="minorEastAsia" w:cstheme="minorEastAsia"/>
          <w:sz w:val="21"/>
          <w:szCs w:val="21"/>
          <w:lang w:val="en-US" w:eastAsia="zh-CN"/>
        </w:rPr>
        <w:t>内容</w:t>
      </w:r>
      <w:r>
        <w:rPr>
          <w:rFonts w:hint="eastAsia" w:asciiTheme="minorEastAsia" w:hAnsiTheme="minorEastAsia" w:eastAsiaTheme="minorEastAsia" w:cstheme="minorEastAsia"/>
          <w:sz w:val="21"/>
          <w:szCs w:val="21"/>
        </w:rPr>
        <w:t>研究方向，实施“</w:t>
      </w:r>
      <w:r>
        <w:rPr>
          <w:rFonts w:hint="eastAsia" w:asciiTheme="minorEastAsia" w:hAnsiTheme="minorEastAsia" w:eastAsiaTheme="minorEastAsia" w:cstheme="minorEastAsia"/>
          <w:sz w:val="21"/>
          <w:szCs w:val="21"/>
          <w:lang w:val="en-US" w:eastAsia="zh-CN"/>
        </w:rPr>
        <w:t>学科</w:t>
      </w:r>
      <w:r>
        <w:rPr>
          <w:rFonts w:hint="eastAsia" w:asciiTheme="minorEastAsia" w:hAnsiTheme="minorEastAsia" w:eastAsiaTheme="minorEastAsia" w:cstheme="minorEastAsia"/>
          <w:sz w:val="21"/>
          <w:szCs w:val="21"/>
        </w:rPr>
        <w:t>核心素养和</w:t>
      </w:r>
      <w:r>
        <w:rPr>
          <w:rFonts w:hint="eastAsia" w:asciiTheme="minorEastAsia" w:hAnsiTheme="minorEastAsia" w:eastAsiaTheme="minorEastAsia" w:cstheme="minorEastAsia"/>
          <w:sz w:val="21"/>
          <w:szCs w:val="21"/>
          <w:lang w:val="en-US" w:eastAsia="zh-CN"/>
        </w:rPr>
        <w:t>学科大概念</w:t>
      </w:r>
      <w:r>
        <w:rPr>
          <w:rFonts w:hint="eastAsia" w:asciiTheme="minorEastAsia" w:hAnsiTheme="minorEastAsia" w:eastAsiaTheme="minorEastAsia" w:cstheme="minorEastAsia"/>
          <w:sz w:val="21"/>
          <w:szCs w:val="21"/>
        </w:rPr>
        <w:t>主题”两个维度的单元教学实践</w:t>
      </w:r>
      <w:r>
        <w:rPr>
          <w:rFonts w:hint="eastAsia" w:asciiTheme="minorEastAsia" w:hAnsiTheme="minorEastAsia" w:cstheme="minorEastAsia"/>
          <w:sz w:val="21"/>
          <w:szCs w:val="21"/>
          <w:lang w:val="en-US" w:eastAsia="zh-CN"/>
        </w:rPr>
        <w:t>研究</w:t>
      </w:r>
      <w:r>
        <w:rPr>
          <w:rFonts w:hint="eastAsia"/>
        </w:rPr>
        <w:t>（</w:t>
      </w:r>
      <w:r>
        <w:rPr>
          <w:rFonts w:hint="eastAsia" w:ascii="楷体" w:hAnsi="楷体" w:eastAsia="楷体"/>
        </w:rPr>
        <w:t>图1</w:t>
      </w:r>
      <w:r>
        <w:rPr>
          <w:rFonts w:hint="eastAsia"/>
        </w:rPr>
        <w:t>）</w:t>
      </w:r>
      <w:r>
        <w:rPr>
          <w:rFonts w:hint="eastAsia" w:asciiTheme="minorEastAsia" w:hAnsiTheme="minorEastAsia" w:eastAsiaTheme="minorEastAsia" w:cstheme="minorEastAsia"/>
          <w:sz w:val="21"/>
          <w:szCs w:val="21"/>
          <w:lang w:eastAsia="zh-CN"/>
        </w:rPr>
        <w:t>。</w:t>
      </w:r>
      <w:r>
        <w:rPr>
          <w:rFonts w:hint="eastAsia"/>
        </w:rPr>
        <w:t>在实践研究的基础上不断总结提炼、优化修正单元教学的一般设计（</w:t>
      </w:r>
      <w:r>
        <w:rPr>
          <w:rFonts w:hint="eastAsia" w:ascii="楷体" w:hAnsi="楷体" w:eastAsia="楷体"/>
        </w:rPr>
        <w:t>图2</w:t>
      </w:r>
      <w:r>
        <w:rPr>
          <w:rFonts w:hint="eastAsia"/>
        </w:rPr>
        <w:t>）与实施的一般流程、方法路径、策略原则、效果评价</w:t>
      </w:r>
      <w:r>
        <w:rPr>
          <w:rFonts w:hint="eastAsia"/>
          <w:lang w:eastAsia="zh-CN"/>
        </w:rPr>
        <w:t>。</w:t>
      </w:r>
      <w:r>
        <w:rPr>
          <w:rFonts w:hint="eastAsia"/>
        </w:rPr>
        <w:t>重点关注以下研究：</w:t>
      </w:r>
      <w:r>
        <w:rPr>
          <w:szCs w:val="21"/>
        </w:rPr>
        <w:t>①学科核心素养导向下的初中化学单元教学实践的</w:t>
      </w:r>
      <w:r>
        <w:rPr>
          <w:b/>
          <w:szCs w:val="21"/>
        </w:rPr>
        <w:t>“内容与策略”</w:t>
      </w:r>
      <w:r>
        <w:rPr>
          <w:szCs w:val="21"/>
        </w:rPr>
        <w:t>研究</w:t>
      </w:r>
      <w:r>
        <w:rPr>
          <w:rFonts w:hint="eastAsia"/>
          <w:szCs w:val="21"/>
        </w:rPr>
        <w:t>；</w:t>
      </w:r>
      <w:r>
        <w:rPr>
          <w:szCs w:val="21"/>
        </w:rPr>
        <w:t>②学科核心素养导向下的初中化学单元教学实践的</w:t>
      </w:r>
      <w:r>
        <w:rPr>
          <w:b/>
          <w:szCs w:val="21"/>
        </w:rPr>
        <w:t>“范式与评价”</w:t>
      </w:r>
      <w:r>
        <w:rPr>
          <w:szCs w:val="21"/>
        </w:rPr>
        <w:t>研究</w:t>
      </w:r>
      <w:r>
        <w:rPr>
          <w:rFonts w:hint="eastAsia"/>
          <w:szCs w:val="21"/>
        </w:rPr>
        <w:t>。</w:t>
      </w:r>
    </w:p>
    <w:p w14:paraId="52776942">
      <w:pPr>
        <w:tabs>
          <w:tab w:val="left" w:pos="540"/>
        </w:tabs>
        <w:spacing w:line="380" w:lineRule="exac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4384" behindDoc="0" locked="0" layoutInCell="1" allowOverlap="1">
            <wp:simplePos x="0" y="0"/>
            <wp:positionH relativeFrom="column">
              <wp:posOffset>942975</wp:posOffset>
            </wp:positionH>
            <wp:positionV relativeFrom="paragraph">
              <wp:posOffset>113665</wp:posOffset>
            </wp:positionV>
            <wp:extent cx="3350260" cy="2215515"/>
            <wp:effectExtent l="0" t="0" r="2540" b="13335"/>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
                    <a:stretch>
                      <a:fillRect/>
                    </a:stretch>
                  </pic:blipFill>
                  <pic:spPr>
                    <a:xfrm>
                      <a:off x="0" y="0"/>
                      <a:ext cx="3350260" cy="2215515"/>
                    </a:xfrm>
                    <a:prstGeom prst="rect">
                      <a:avLst/>
                    </a:prstGeom>
                    <a:noFill/>
                    <a:ln>
                      <a:noFill/>
                    </a:ln>
                  </pic:spPr>
                </pic:pic>
              </a:graphicData>
            </a:graphic>
          </wp:anchor>
        </w:drawing>
      </w:r>
    </w:p>
    <w:p w14:paraId="39B97E13">
      <w:pPr>
        <w:tabs>
          <w:tab w:val="left" w:pos="540"/>
        </w:tabs>
        <w:spacing w:line="380" w:lineRule="exact"/>
        <w:jc w:val="left"/>
        <w:rPr>
          <w:rFonts w:hint="eastAsia" w:asciiTheme="minorEastAsia" w:hAnsiTheme="minorEastAsia" w:eastAsiaTheme="minorEastAsia" w:cstheme="minorEastAsia"/>
        </w:rPr>
      </w:pPr>
    </w:p>
    <w:p w14:paraId="6DBB1437">
      <w:pPr>
        <w:tabs>
          <w:tab w:val="left" w:pos="540"/>
        </w:tabs>
        <w:spacing w:line="380" w:lineRule="exact"/>
        <w:jc w:val="left"/>
        <w:rPr>
          <w:rFonts w:hint="eastAsia" w:asciiTheme="minorEastAsia" w:hAnsiTheme="minorEastAsia" w:eastAsiaTheme="minorEastAsia" w:cstheme="minorEastAsia"/>
        </w:rPr>
      </w:pPr>
    </w:p>
    <w:p w14:paraId="56BEF115">
      <w:pPr>
        <w:tabs>
          <w:tab w:val="left" w:pos="540"/>
        </w:tabs>
        <w:spacing w:line="380" w:lineRule="exact"/>
        <w:jc w:val="left"/>
        <w:rPr>
          <w:rFonts w:hint="eastAsia" w:asciiTheme="minorEastAsia" w:hAnsiTheme="minorEastAsia" w:eastAsiaTheme="minorEastAsia" w:cstheme="minorEastAsia"/>
        </w:rPr>
      </w:pPr>
    </w:p>
    <w:p w14:paraId="1E821AE3">
      <w:pPr>
        <w:tabs>
          <w:tab w:val="left" w:pos="540"/>
        </w:tabs>
        <w:spacing w:line="380" w:lineRule="exact"/>
        <w:jc w:val="left"/>
        <w:rPr>
          <w:rFonts w:hint="eastAsia" w:asciiTheme="minorEastAsia" w:hAnsiTheme="minorEastAsia" w:eastAsiaTheme="minorEastAsia" w:cstheme="minorEastAsia"/>
        </w:rPr>
      </w:pPr>
    </w:p>
    <w:p w14:paraId="4D0D5299">
      <w:pPr>
        <w:tabs>
          <w:tab w:val="left" w:pos="540"/>
        </w:tabs>
        <w:spacing w:line="380" w:lineRule="exact"/>
        <w:jc w:val="left"/>
        <w:rPr>
          <w:rFonts w:hint="eastAsia" w:asciiTheme="minorEastAsia" w:hAnsiTheme="minorEastAsia" w:eastAsiaTheme="minorEastAsia" w:cstheme="minorEastAsia"/>
        </w:rPr>
      </w:pPr>
    </w:p>
    <w:p w14:paraId="265DC295">
      <w:pPr>
        <w:tabs>
          <w:tab w:val="left" w:pos="540"/>
        </w:tabs>
        <w:spacing w:line="380" w:lineRule="exact"/>
        <w:jc w:val="left"/>
        <w:rPr>
          <w:rFonts w:hint="eastAsia" w:asciiTheme="minorEastAsia" w:hAnsiTheme="minorEastAsia" w:eastAsiaTheme="minorEastAsia" w:cstheme="minorEastAsia"/>
        </w:rPr>
      </w:pPr>
    </w:p>
    <w:p w14:paraId="783057B6">
      <w:pPr>
        <w:tabs>
          <w:tab w:val="left" w:pos="540"/>
        </w:tabs>
        <w:spacing w:line="380" w:lineRule="exact"/>
        <w:jc w:val="both"/>
        <w:rPr>
          <w:rFonts w:eastAsia="宋体"/>
          <w:sz w:val="18"/>
          <w:szCs w:val="18"/>
        </w:rPr>
      </w:pPr>
      <w:r>
        <w:t xml:space="preserve">  </w:t>
      </w:r>
      <w:r>
        <w:rPr>
          <w:rFonts w:hint="eastAsia"/>
        </w:rPr>
        <w:t xml:space="preserve">    </w:t>
      </w:r>
    </w:p>
    <w:p w14:paraId="423814B1">
      <w:pPr>
        <w:tabs>
          <w:tab w:val="left" w:pos="540"/>
        </w:tabs>
        <w:spacing w:line="380" w:lineRule="exact"/>
        <w:jc w:val="left"/>
        <w:rPr>
          <w:rFonts w:hint="eastAsia" w:ascii="宋体" w:hAnsi="宋体"/>
          <w:szCs w:val="21"/>
        </w:rPr>
      </w:pPr>
      <w:r>
        <w:rPr>
          <w:rFonts w:hint="eastAsia" w:ascii="宋体" w:hAnsi="宋体"/>
          <w:szCs w:val="21"/>
        </w:rPr>
        <w:t xml:space="preserve">                  </w:t>
      </w:r>
    </w:p>
    <w:p w14:paraId="5355B552">
      <w:pPr>
        <w:tabs>
          <w:tab w:val="left" w:pos="540"/>
        </w:tabs>
        <w:spacing w:line="380" w:lineRule="exact"/>
        <w:jc w:val="both"/>
        <w:rPr>
          <w:rFonts w:hint="eastAsia" w:ascii="楷体" w:hAnsi="楷体" w:eastAsia="楷体"/>
          <w:szCs w:val="21"/>
        </w:rPr>
      </w:pPr>
    </w:p>
    <w:p w14:paraId="66D51589">
      <w:pPr>
        <w:tabs>
          <w:tab w:val="left" w:pos="540"/>
        </w:tabs>
        <w:spacing w:line="380" w:lineRule="exact"/>
        <w:jc w:val="center"/>
        <w:rPr>
          <w:rFonts w:hint="eastAsia" w:ascii="楷体" w:hAnsi="楷体" w:eastAsia="楷体"/>
          <w:szCs w:val="21"/>
        </w:rPr>
      </w:pPr>
      <w:r>
        <w:rPr>
          <w:rFonts w:hint="eastAsia" w:ascii="楷体" w:hAnsi="楷体" w:eastAsia="楷体"/>
          <w:szCs w:val="21"/>
        </w:rPr>
        <w:t>图1</w:t>
      </w:r>
    </w:p>
    <w:p w14:paraId="05BF1322">
      <w:pPr>
        <w:tabs>
          <w:tab w:val="left" w:pos="540"/>
        </w:tabs>
        <w:spacing w:line="380" w:lineRule="exact"/>
        <w:jc w:val="both"/>
        <w:rPr>
          <w:rFonts w:hint="eastAsia" w:ascii="楷体" w:hAnsi="楷体" w:eastAsia="楷体"/>
          <w:szCs w:val="21"/>
        </w:rPr>
      </w:pPr>
      <w:r>
        <w:drawing>
          <wp:anchor distT="0" distB="0" distL="114300" distR="114300" simplePos="0" relativeHeight="251662336" behindDoc="1" locked="0" layoutInCell="1" allowOverlap="1">
            <wp:simplePos x="0" y="0"/>
            <wp:positionH relativeFrom="page">
              <wp:posOffset>2159635</wp:posOffset>
            </wp:positionH>
            <wp:positionV relativeFrom="margin">
              <wp:posOffset>2865755</wp:posOffset>
            </wp:positionV>
            <wp:extent cx="3213735" cy="2969260"/>
            <wp:effectExtent l="0" t="0" r="5715" b="2540"/>
            <wp:wrapNone/>
            <wp:docPr id="3" name="图片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13735" cy="2969260"/>
                    </a:xfrm>
                    <a:prstGeom prst="rect">
                      <a:avLst/>
                    </a:prstGeom>
                    <a:noFill/>
                    <a:ln>
                      <a:noFill/>
                    </a:ln>
                  </pic:spPr>
                </pic:pic>
              </a:graphicData>
            </a:graphic>
          </wp:anchor>
        </w:drawing>
      </w:r>
    </w:p>
    <w:p w14:paraId="3AB088D2">
      <w:pPr>
        <w:tabs>
          <w:tab w:val="left" w:pos="540"/>
        </w:tabs>
        <w:spacing w:line="380" w:lineRule="exact"/>
        <w:jc w:val="center"/>
        <w:rPr>
          <w:rFonts w:hint="eastAsia" w:ascii="楷体" w:hAnsi="楷体" w:eastAsia="楷体"/>
          <w:szCs w:val="21"/>
        </w:rPr>
      </w:pPr>
    </w:p>
    <w:p w14:paraId="3B574895">
      <w:pPr>
        <w:tabs>
          <w:tab w:val="left" w:pos="540"/>
        </w:tabs>
        <w:spacing w:line="380" w:lineRule="exact"/>
        <w:jc w:val="center"/>
        <w:rPr>
          <w:rFonts w:hint="eastAsia" w:ascii="楷体" w:hAnsi="楷体" w:eastAsia="楷体"/>
          <w:szCs w:val="21"/>
        </w:rPr>
      </w:pPr>
    </w:p>
    <w:p w14:paraId="6D4F30A3">
      <w:pPr>
        <w:tabs>
          <w:tab w:val="left" w:pos="540"/>
        </w:tabs>
        <w:spacing w:line="380" w:lineRule="exact"/>
        <w:jc w:val="center"/>
        <w:rPr>
          <w:rFonts w:hint="eastAsia" w:ascii="楷体" w:hAnsi="楷体" w:eastAsia="楷体"/>
          <w:szCs w:val="21"/>
        </w:rPr>
      </w:pPr>
    </w:p>
    <w:p w14:paraId="40D44A8E">
      <w:pPr>
        <w:tabs>
          <w:tab w:val="left" w:pos="540"/>
        </w:tabs>
        <w:spacing w:line="380" w:lineRule="exact"/>
        <w:jc w:val="center"/>
        <w:rPr>
          <w:rFonts w:hint="eastAsia" w:ascii="楷体" w:hAnsi="楷体" w:eastAsia="楷体"/>
          <w:szCs w:val="21"/>
        </w:rPr>
      </w:pPr>
    </w:p>
    <w:p w14:paraId="6F9C4BD8">
      <w:pPr>
        <w:rPr>
          <w:rFonts w:hint="eastAsia"/>
          <w:b/>
          <w:bCs/>
        </w:rPr>
      </w:pPr>
      <w:r>
        <w:rPr>
          <w:rFonts w:hint="eastAsia"/>
          <w:b/>
          <w:bCs/>
        </w:rPr>
        <w:t xml:space="preserve">    </w:t>
      </w:r>
    </w:p>
    <w:p w14:paraId="08C39968">
      <w:pPr>
        <w:rPr>
          <w:rFonts w:hint="eastAsia"/>
          <w:b/>
          <w:bCs/>
        </w:rPr>
      </w:pPr>
    </w:p>
    <w:p w14:paraId="697C3549">
      <w:pPr>
        <w:rPr>
          <w:rFonts w:hint="eastAsia"/>
          <w:b/>
          <w:bCs/>
        </w:rPr>
      </w:pPr>
    </w:p>
    <w:p w14:paraId="321B0C9C">
      <w:pPr>
        <w:rPr>
          <w:rFonts w:hint="eastAsia"/>
          <w:b/>
          <w:bCs/>
        </w:rPr>
      </w:pPr>
    </w:p>
    <w:p w14:paraId="2BC9EB01">
      <w:pPr>
        <w:rPr>
          <w:rFonts w:hint="eastAsia"/>
          <w:b/>
          <w:bCs/>
        </w:rPr>
      </w:pPr>
    </w:p>
    <w:p w14:paraId="6AF4F146">
      <w:pPr>
        <w:rPr>
          <w:rFonts w:hint="eastAsia"/>
          <w:b/>
          <w:bCs/>
        </w:rPr>
      </w:pPr>
    </w:p>
    <w:p w14:paraId="02DDA329">
      <w:pPr>
        <w:rPr>
          <w:rFonts w:hint="eastAsia"/>
          <w:b/>
          <w:bCs/>
        </w:rPr>
      </w:pPr>
    </w:p>
    <w:p w14:paraId="7E1DF426">
      <w:pPr>
        <w:rPr>
          <w:rFonts w:hint="eastAsia"/>
          <w:b/>
          <w:bCs/>
        </w:rPr>
      </w:pPr>
    </w:p>
    <w:p w14:paraId="445C4A47">
      <w:pPr>
        <w:rPr>
          <w:rFonts w:hint="eastAsia"/>
          <w:b/>
          <w:bCs/>
        </w:rPr>
      </w:pPr>
    </w:p>
    <w:p w14:paraId="26257E16">
      <w:pPr>
        <w:jc w:val="center"/>
        <w:rPr>
          <w:rFonts w:hint="eastAsia"/>
          <w:b/>
          <w:bCs/>
        </w:rPr>
      </w:pPr>
      <w:r>
        <w:rPr>
          <w:rFonts w:hint="eastAsia" w:ascii="楷体" w:hAnsi="楷体" w:eastAsia="楷体"/>
          <w:szCs w:val="21"/>
        </w:rPr>
        <w:t>图2</w:t>
      </w:r>
    </w:p>
    <w:p w14:paraId="3473326C">
      <w:pPr>
        <w:ind w:firstLine="420" w:firstLineChars="200"/>
        <w:rPr>
          <w:b/>
          <w:bCs/>
        </w:rPr>
      </w:pPr>
      <w:r>
        <w:rPr>
          <w:rFonts w:hint="eastAsia"/>
          <w:b/>
          <w:bCs/>
        </w:rPr>
        <w:t>二、研究过程与方法</w:t>
      </w:r>
    </w:p>
    <w:p w14:paraId="2EC60D49">
      <w:pPr>
        <w:ind w:firstLine="420" w:firstLineChars="200"/>
        <w:rPr>
          <w:b/>
          <w:bCs/>
        </w:rPr>
      </w:pPr>
      <w:r>
        <w:rPr>
          <w:rFonts w:hint="eastAsia"/>
          <w:b/>
          <w:bCs/>
        </w:rPr>
        <w:t>（一）研究历程的概述</w:t>
      </w:r>
      <w:r>
        <w:rPr>
          <w:rFonts w:hint="eastAsia" w:ascii="宋体" w:hAnsi="宋体"/>
          <w:szCs w:val="21"/>
        </w:rPr>
        <w:t xml:space="preserve">       </w:t>
      </w:r>
      <w:r>
        <w:rPr>
          <w:rFonts w:hint="eastAsia" w:ascii="楷体" w:hAnsi="楷体" w:eastAsia="楷体"/>
          <w:szCs w:val="21"/>
        </w:rPr>
        <w:t xml:space="preserve"> </w:t>
      </w:r>
    </w:p>
    <w:p w14:paraId="4BFE9AD7">
      <w:pPr>
        <w:ind w:firstLine="420" w:firstLineChars="200"/>
        <w:rPr>
          <w:b/>
          <w:bCs/>
        </w:rPr>
      </w:pPr>
      <w:r>
        <w:rPr>
          <w:rFonts w:hint="eastAsia"/>
          <w:b/>
          <w:bCs/>
        </w:rPr>
        <w:t>1.第一阶段——启动课题（20</w:t>
      </w:r>
      <w:r>
        <w:rPr>
          <w:b/>
          <w:bCs/>
        </w:rPr>
        <w:t>21</w:t>
      </w:r>
      <w:r>
        <w:rPr>
          <w:rFonts w:hint="eastAsia"/>
          <w:b/>
          <w:bCs/>
        </w:rPr>
        <w:t>年</w:t>
      </w:r>
      <w:r>
        <w:rPr>
          <w:b/>
          <w:bCs/>
        </w:rPr>
        <w:t>8</w:t>
      </w:r>
      <w:r>
        <w:rPr>
          <w:rFonts w:hint="eastAsia"/>
          <w:b/>
          <w:bCs/>
        </w:rPr>
        <w:t>月~20</w:t>
      </w:r>
      <w:r>
        <w:rPr>
          <w:b/>
          <w:bCs/>
        </w:rPr>
        <w:t>2</w:t>
      </w:r>
      <w:r>
        <w:rPr>
          <w:rFonts w:hint="eastAsia"/>
          <w:b/>
          <w:bCs/>
        </w:rPr>
        <w:t>2月</w:t>
      </w:r>
      <w:r>
        <w:rPr>
          <w:b/>
          <w:bCs/>
        </w:rPr>
        <w:t>3</w:t>
      </w:r>
      <w:r>
        <w:rPr>
          <w:rFonts w:hint="eastAsia"/>
          <w:b/>
          <w:bCs/>
        </w:rPr>
        <w:t>月）</w:t>
      </w:r>
    </w:p>
    <w:p w14:paraId="0DE16B2C">
      <w:pPr>
        <w:ind w:firstLine="420" w:firstLineChars="200"/>
      </w:pPr>
      <w:r>
        <w:rPr>
          <w:rFonts w:hint="eastAsia"/>
        </w:rPr>
        <w:t>（1）确定成员，成立课题组，开展</w:t>
      </w:r>
      <w:r>
        <w:t>课题设计</w:t>
      </w:r>
      <w:r>
        <w:rPr>
          <w:rFonts w:hint="eastAsia"/>
        </w:rPr>
        <w:t>。</w:t>
      </w:r>
    </w:p>
    <w:p w14:paraId="3373DF17">
      <w:pPr>
        <w:ind w:firstLine="420" w:firstLineChars="200"/>
      </w:pPr>
      <w:r>
        <w:rPr>
          <w:rFonts w:hint="eastAsia"/>
        </w:rPr>
        <w:t>（2）理论学习，提升研究力，开展课题</w:t>
      </w:r>
      <w:r>
        <w:t>论证</w:t>
      </w:r>
      <w:r>
        <w:rPr>
          <w:rFonts w:hint="eastAsia"/>
        </w:rPr>
        <w:t>。</w:t>
      </w:r>
    </w:p>
    <w:p w14:paraId="1B8FA2EB">
      <w:pPr>
        <w:ind w:firstLine="420" w:firstLineChars="200"/>
      </w:pPr>
      <w:r>
        <w:rPr>
          <w:rFonts w:hint="eastAsia"/>
        </w:rPr>
        <w:t>（3）完成课题研究方案，确定目标，申报立项。</w:t>
      </w:r>
    </w:p>
    <w:p w14:paraId="38D0C5CA">
      <w:pPr>
        <w:ind w:firstLine="420" w:firstLineChars="200"/>
      </w:pPr>
      <w:r>
        <w:rPr>
          <w:rFonts w:hint="eastAsia"/>
        </w:rPr>
        <w:t>（4）建立 “核心素养导向下的初中化学单元教学实践”资源中心，</w:t>
      </w:r>
      <w:r>
        <w:t>召开开题论证会议，聘请专家对课题方案进行论证，进一步修改和完善课题研究方案</w:t>
      </w:r>
      <w:r>
        <w:rPr>
          <w:rFonts w:hint="eastAsia"/>
        </w:rPr>
        <w:t>。</w:t>
      </w:r>
    </w:p>
    <w:p w14:paraId="37C91441">
      <w:pPr>
        <w:ind w:firstLine="420" w:firstLineChars="200"/>
      </w:pPr>
      <w:r>
        <w:rPr>
          <w:rFonts w:hint="eastAsia"/>
        </w:rPr>
        <w:t>（5）</w:t>
      </w:r>
      <w:r>
        <w:t>撰写课题研究的具体实施方案和计划。召集课题组会议</w:t>
      </w:r>
      <w:r>
        <w:rPr>
          <w:rFonts w:hint="eastAsia"/>
        </w:rPr>
        <w:t>，</w:t>
      </w:r>
      <w:r>
        <w:t>成员</w:t>
      </w:r>
      <w:r>
        <w:rPr>
          <w:rFonts w:hint="eastAsia"/>
        </w:rPr>
        <w:t>分工，</w:t>
      </w:r>
      <w:r>
        <w:t>理论学习。</w:t>
      </w:r>
    </w:p>
    <w:p w14:paraId="28AF0230">
      <w:pPr>
        <w:ind w:firstLine="420" w:firstLineChars="200"/>
        <w:rPr>
          <w:b/>
          <w:bCs/>
        </w:rPr>
      </w:pPr>
      <w:r>
        <w:rPr>
          <w:rFonts w:hint="eastAsia"/>
          <w:b/>
          <w:bCs/>
        </w:rPr>
        <w:t>2.第二阶段——实施课题（20</w:t>
      </w:r>
      <w:r>
        <w:rPr>
          <w:b/>
          <w:bCs/>
        </w:rPr>
        <w:t>2</w:t>
      </w:r>
      <w:r>
        <w:rPr>
          <w:rFonts w:hint="eastAsia"/>
          <w:b/>
          <w:bCs/>
        </w:rPr>
        <w:t>2年</w:t>
      </w:r>
      <w:r>
        <w:rPr>
          <w:b/>
          <w:bCs/>
        </w:rPr>
        <w:t>4</w:t>
      </w:r>
      <w:r>
        <w:rPr>
          <w:rFonts w:hint="eastAsia"/>
          <w:b/>
          <w:bCs/>
        </w:rPr>
        <w:t>月~20</w:t>
      </w:r>
      <w:r>
        <w:rPr>
          <w:b/>
          <w:bCs/>
        </w:rPr>
        <w:t>23</w:t>
      </w:r>
      <w:r>
        <w:rPr>
          <w:rFonts w:hint="eastAsia"/>
          <w:b/>
          <w:bCs/>
        </w:rPr>
        <w:t>年</w:t>
      </w:r>
      <w:r>
        <w:rPr>
          <w:b/>
          <w:bCs/>
        </w:rPr>
        <w:t>6</w:t>
      </w:r>
      <w:r>
        <w:rPr>
          <w:rFonts w:hint="eastAsia"/>
          <w:b/>
          <w:bCs/>
        </w:rPr>
        <w:t>月）</w:t>
      </w:r>
    </w:p>
    <w:p w14:paraId="4330D384">
      <w:pPr>
        <w:ind w:firstLine="420" w:firstLineChars="200"/>
      </w:pPr>
      <w:r>
        <w:rPr>
          <w:rFonts w:hint="eastAsia"/>
        </w:rPr>
        <w:t>（1）立足校情，制订每学期研究计划，根据计划开展丰富多彩的“单元教学”实践活动。</w:t>
      </w:r>
    </w:p>
    <w:p w14:paraId="6DD2D770">
      <w:pPr>
        <w:ind w:firstLine="420" w:firstLineChars="200"/>
      </w:pPr>
      <w:r>
        <w:rPr>
          <w:rFonts w:hint="eastAsia"/>
        </w:rPr>
        <w:t>（2）边研究边调整行动方案，</w:t>
      </w:r>
      <w:r>
        <w:t>定期组织课题交流活动，如课堂观摩、主题研讨、读书沙龙、成果展示等</w:t>
      </w:r>
      <w:r>
        <w:rPr>
          <w:rFonts w:hint="eastAsia"/>
        </w:rPr>
        <w:t>，</w:t>
      </w:r>
      <w:r>
        <w:t>积累详细研究资料</w:t>
      </w:r>
      <w:r>
        <w:rPr>
          <w:rFonts w:hint="eastAsia"/>
        </w:rPr>
        <w:t>，及时进行经验提炼，撰写并发表课题论文</w:t>
      </w:r>
      <w:r>
        <w:t>。</w:t>
      </w:r>
    </w:p>
    <w:p w14:paraId="41001CCD">
      <w:pPr>
        <w:ind w:firstLine="420" w:firstLineChars="200"/>
      </w:pPr>
      <w:r>
        <w:rPr>
          <w:rFonts w:hint="eastAsia"/>
        </w:rPr>
        <w:t>（3）</w:t>
      </w:r>
      <w:r>
        <w:t>分析总结课题进展情况，</w:t>
      </w:r>
      <w:r>
        <w:rPr>
          <w:rFonts w:hint="eastAsia"/>
        </w:rPr>
        <w:t>展示阶段研究成果，做好研究资料的归类整理。</w:t>
      </w:r>
    </w:p>
    <w:p w14:paraId="4F5CDAB6">
      <w:pPr>
        <w:ind w:firstLine="420" w:firstLineChars="200"/>
      </w:pPr>
      <w:r>
        <w:rPr>
          <w:rFonts w:hint="eastAsia"/>
        </w:rPr>
        <w:t>（4）撰写中期评估报告，完成课题中期评估。</w:t>
      </w:r>
      <w:r>
        <w:rPr>
          <w:rFonts w:hint="eastAsia"/>
        </w:rPr>
        <w:tab/>
      </w:r>
    </w:p>
    <w:p w14:paraId="28D40808">
      <w:pPr>
        <w:ind w:firstLine="420" w:firstLineChars="200"/>
        <w:rPr>
          <w:b/>
          <w:bCs/>
        </w:rPr>
      </w:pPr>
      <w:r>
        <w:rPr>
          <w:rFonts w:hint="eastAsia"/>
          <w:b/>
          <w:bCs/>
        </w:rPr>
        <w:t>3.第三阶段——推进课题（20</w:t>
      </w:r>
      <w:r>
        <w:rPr>
          <w:b/>
          <w:bCs/>
        </w:rPr>
        <w:t>23</w:t>
      </w:r>
      <w:r>
        <w:rPr>
          <w:rFonts w:hint="eastAsia"/>
          <w:b/>
          <w:bCs/>
        </w:rPr>
        <w:t>年</w:t>
      </w:r>
      <w:r>
        <w:rPr>
          <w:b/>
          <w:bCs/>
        </w:rPr>
        <w:t>7</w:t>
      </w:r>
      <w:r>
        <w:rPr>
          <w:rFonts w:hint="eastAsia"/>
          <w:b/>
          <w:bCs/>
        </w:rPr>
        <w:t>月~20</w:t>
      </w:r>
      <w:r>
        <w:rPr>
          <w:b/>
          <w:bCs/>
        </w:rPr>
        <w:t>24</w:t>
      </w:r>
      <w:r>
        <w:rPr>
          <w:rFonts w:hint="eastAsia"/>
          <w:b/>
          <w:bCs/>
        </w:rPr>
        <w:t>年1</w:t>
      </w:r>
      <w:r>
        <w:rPr>
          <w:b/>
          <w:bCs/>
        </w:rPr>
        <w:t>0</w:t>
      </w:r>
      <w:r>
        <w:rPr>
          <w:rFonts w:hint="eastAsia"/>
          <w:b/>
          <w:bCs/>
        </w:rPr>
        <w:t>月）</w:t>
      </w:r>
    </w:p>
    <w:p w14:paraId="7B799A0F">
      <w:pPr>
        <w:ind w:firstLine="420" w:firstLineChars="200"/>
      </w:pPr>
      <w:r>
        <w:rPr>
          <w:rFonts w:hint="eastAsia"/>
        </w:rPr>
        <w:t>（1）</w:t>
      </w:r>
      <w:r>
        <w:t>根据中期评估反馈意见，</w:t>
      </w:r>
      <w:r>
        <w:rPr>
          <w:rFonts w:hint="eastAsia"/>
        </w:rPr>
        <w:t>请专家指导，</w:t>
      </w:r>
      <w:r>
        <w:t>对一些具体问题进行讨论、调整和修正</w:t>
      </w:r>
      <w:r>
        <w:rPr>
          <w:rFonts w:hint="eastAsia"/>
        </w:rPr>
        <w:t>。</w:t>
      </w:r>
    </w:p>
    <w:p w14:paraId="3B7F8A07">
      <w:pPr>
        <w:ind w:firstLine="420" w:firstLineChars="200"/>
      </w:pPr>
      <w:r>
        <w:rPr>
          <w:rFonts w:hint="eastAsia"/>
        </w:rPr>
        <w:t>（2）在专家意见指导下</w:t>
      </w:r>
      <w:r>
        <w:t>开展新一轮</w:t>
      </w:r>
      <w:r>
        <w:rPr>
          <w:rFonts w:hint="eastAsia"/>
        </w:rPr>
        <w:t>课题实践</w:t>
      </w:r>
      <w:r>
        <w:t>研究行动。</w:t>
      </w:r>
      <w:r>
        <w:rPr>
          <w:rFonts w:hint="eastAsia"/>
        </w:rPr>
        <w:t>边研究边调整行动方案。</w:t>
      </w:r>
    </w:p>
    <w:p w14:paraId="7CC409C1">
      <w:pPr>
        <w:ind w:firstLine="420" w:firstLineChars="200"/>
      </w:pPr>
      <w:r>
        <w:rPr>
          <w:rFonts w:hint="eastAsia"/>
        </w:rPr>
        <w:t>（3）参加省市区义教新课标新教材的主题培训活动融入课题研究，开展实践。</w:t>
      </w:r>
    </w:p>
    <w:p w14:paraId="49AD176F">
      <w:pPr>
        <w:ind w:firstLine="420" w:firstLineChars="200"/>
      </w:pPr>
      <w:r>
        <w:rPr>
          <w:rFonts w:hint="eastAsia"/>
        </w:rPr>
        <w:t>（4）及时进行经验提炼，撰写并发表课题论文</w:t>
      </w:r>
      <w:r>
        <w:t>。</w:t>
      </w:r>
      <w:r>
        <w:rPr>
          <w:rFonts w:hint="eastAsia"/>
        </w:rPr>
        <w:t>。</w:t>
      </w:r>
    </w:p>
    <w:p w14:paraId="22AC030C">
      <w:pPr>
        <w:ind w:firstLine="420" w:firstLineChars="200"/>
        <w:rPr>
          <w:b/>
          <w:bCs/>
        </w:rPr>
      </w:pPr>
      <w:r>
        <w:rPr>
          <w:rFonts w:hint="eastAsia"/>
          <w:b/>
          <w:bCs/>
        </w:rPr>
        <w:t>4.第四阶段——结题活动（20</w:t>
      </w:r>
      <w:r>
        <w:rPr>
          <w:b/>
          <w:bCs/>
        </w:rPr>
        <w:t>24</w:t>
      </w:r>
      <w:r>
        <w:rPr>
          <w:rFonts w:hint="eastAsia"/>
          <w:b/>
          <w:bCs/>
        </w:rPr>
        <w:t>年</w:t>
      </w:r>
      <w:r>
        <w:rPr>
          <w:b/>
          <w:bCs/>
        </w:rPr>
        <w:t>11</w:t>
      </w:r>
      <w:r>
        <w:rPr>
          <w:rFonts w:hint="eastAsia"/>
          <w:b/>
          <w:bCs/>
        </w:rPr>
        <w:t>月~20</w:t>
      </w:r>
      <w:r>
        <w:rPr>
          <w:b/>
          <w:bCs/>
        </w:rPr>
        <w:t>24</w:t>
      </w:r>
      <w:r>
        <w:rPr>
          <w:rFonts w:hint="eastAsia"/>
          <w:b/>
          <w:bCs/>
        </w:rPr>
        <w:t>年1</w:t>
      </w:r>
      <w:r>
        <w:rPr>
          <w:b/>
          <w:bCs/>
        </w:rPr>
        <w:t>2</w:t>
      </w:r>
      <w:r>
        <w:rPr>
          <w:rFonts w:hint="eastAsia"/>
          <w:b/>
          <w:bCs/>
        </w:rPr>
        <w:t>月）</w:t>
      </w:r>
    </w:p>
    <w:p w14:paraId="178BE2F5">
      <w:pPr>
        <w:ind w:firstLine="420" w:firstLineChars="200"/>
      </w:pPr>
      <w:r>
        <w:rPr>
          <w:rFonts w:hint="eastAsia"/>
        </w:rPr>
        <w:t>（1）</w:t>
      </w:r>
      <w:r>
        <w:t>进行课题结题准备，全体成员完成研究案例、论文</w:t>
      </w:r>
      <w:r>
        <w:rPr>
          <w:rFonts w:hint="eastAsia"/>
        </w:rPr>
        <w:t>、资料</w:t>
      </w:r>
      <w:r>
        <w:t>等收集整理工作；</w:t>
      </w:r>
    </w:p>
    <w:p w14:paraId="445D6909">
      <w:pPr>
        <w:ind w:firstLine="420" w:firstLineChars="200"/>
      </w:pPr>
      <w:r>
        <w:rPr>
          <w:rFonts w:hint="eastAsia"/>
        </w:rPr>
        <w:t>（2）</w:t>
      </w:r>
      <w:r>
        <w:t>撰写并提交课题研究报告</w:t>
      </w:r>
      <w:r>
        <w:rPr>
          <w:rFonts w:hint="eastAsia"/>
        </w:rPr>
        <w:t>。</w:t>
      </w:r>
    </w:p>
    <w:p w14:paraId="7C27B13A">
      <w:pPr>
        <w:ind w:firstLine="420" w:firstLineChars="200"/>
      </w:pPr>
      <w:r>
        <w:rPr>
          <w:rFonts w:hint="eastAsia"/>
        </w:rPr>
        <w:t>（</w:t>
      </w:r>
      <w:r>
        <w:t>3</w:t>
      </w:r>
      <w:r>
        <w:rPr>
          <w:rFonts w:hint="eastAsia"/>
        </w:rPr>
        <w:t>）整理研究的过程性资料，接受结题评估。</w:t>
      </w:r>
    </w:p>
    <w:p w14:paraId="3E8ACCB1">
      <w:pPr>
        <w:ind w:firstLine="420" w:firstLineChars="200"/>
        <w:rPr>
          <w:b/>
          <w:bCs/>
        </w:rPr>
      </w:pPr>
      <w:r>
        <w:rPr>
          <w:rFonts w:hint="eastAsia"/>
          <w:b/>
          <w:bCs/>
        </w:rPr>
        <w:t>（二）节点事件的回顾</w:t>
      </w:r>
    </w:p>
    <w:p w14:paraId="3ADBA522">
      <w:pPr>
        <w:ind w:firstLine="420" w:firstLineChars="200"/>
        <w:rPr>
          <w:rFonts w:hint="eastAsia"/>
        </w:rPr>
      </w:pPr>
      <w:r>
        <w:rPr>
          <w:rFonts w:hint="eastAsia"/>
        </w:rPr>
        <w:t>202</w:t>
      </w:r>
      <w:r>
        <w:t>2</w:t>
      </w:r>
      <w:r>
        <w:rPr>
          <w:rFonts w:hint="eastAsia"/>
        </w:rPr>
        <w:t>年1月，本课题成功立项为江苏省教育科学“十四五”规划青年一般课题。2</w:t>
      </w:r>
      <w:r>
        <w:t>02</w:t>
      </w:r>
      <w:r>
        <w:rPr>
          <w:rFonts w:hint="eastAsia"/>
          <w:lang w:val="en-US" w:eastAsia="zh-CN"/>
        </w:rPr>
        <w:t>2</w:t>
      </w:r>
      <w:r>
        <w:rPr>
          <w:rFonts w:hint="eastAsia"/>
        </w:rPr>
        <w:t>年3月进行了开题论证，</w:t>
      </w:r>
      <w:r>
        <w:t xml:space="preserve"> 2022</w:t>
      </w:r>
      <w:r>
        <w:rPr>
          <w:rFonts w:hint="eastAsia"/>
        </w:rPr>
        <w:t>年4月义务教育化学课程标准的颁布后，进行了新课程标准研读，根据新课标的主题框架，调整了原有的研究内容</w:t>
      </w:r>
      <w:r>
        <w:rPr>
          <w:rFonts w:hint="eastAsia"/>
          <w:lang w:eastAsia="zh-CN"/>
        </w:rPr>
        <w:t>，</w:t>
      </w:r>
      <w:r>
        <w:rPr>
          <w:rFonts w:hint="eastAsia" w:ascii="宋体" w:hAnsi="宋体"/>
          <w:sz w:val="21"/>
          <w:szCs w:val="21"/>
          <w:lang w:val="en-US" w:eastAsia="zh-CN"/>
        </w:rPr>
        <w:t>研究重点变更为</w:t>
      </w:r>
      <w:r>
        <w:rPr>
          <w:rFonts w:hint="eastAsia" w:asciiTheme="minorEastAsia" w:hAnsiTheme="minorEastAsia" w:eastAsiaTheme="minorEastAsia" w:cstheme="minorEastAsia"/>
          <w:sz w:val="21"/>
          <w:szCs w:val="21"/>
          <w:lang w:val="en-US" w:eastAsia="zh-CN"/>
        </w:rPr>
        <w:t>基于义务教育化学课程标准（2022版），在化学观念、科学思维、科学探究与实践、科学态度与责任四大化学课程核心素养导向下，</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物质的性质与应用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物质的组成与结构</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物质的化学变化</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化学与社会·跨学科实践</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四个</w:t>
      </w:r>
      <w:r>
        <w:rPr>
          <w:rFonts w:hint="eastAsia" w:asciiTheme="minorEastAsia" w:hAnsiTheme="minorEastAsia" w:eastAsiaTheme="minorEastAsia" w:cstheme="minorEastAsia"/>
          <w:sz w:val="21"/>
          <w:szCs w:val="21"/>
        </w:rPr>
        <w:t>大</w:t>
      </w:r>
      <w:r>
        <w:rPr>
          <w:rFonts w:hint="eastAsia" w:asciiTheme="minorEastAsia" w:hAnsiTheme="minorEastAsia" w:eastAsiaTheme="minorEastAsia" w:cstheme="minorEastAsia"/>
          <w:sz w:val="21"/>
          <w:szCs w:val="21"/>
          <w:lang w:val="en-US" w:eastAsia="zh-CN"/>
        </w:rPr>
        <w:t>概念</w:t>
      </w:r>
      <w:r>
        <w:rPr>
          <w:rFonts w:hint="eastAsia" w:asciiTheme="minorEastAsia" w:hAnsiTheme="minorEastAsia" w:eastAsiaTheme="minorEastAsia" w:cstheme="minorEastAsia"/>
          <w:sz w:val="21"/>
          <w:szCs w:val="21"/>
        </w:rPr>
        <w:t>主题划分</w:t>
      </w:r>
      <w:r>
        <w:rPr>
          <w:rFonts w:hint="eastAsia" w:asciiTheme="minorEastAsia" w:hAnsiTheme="minorEastAsia" w:eastAsiaTheme="minorEastAsia" w:cstheme="minorEastAsia"/>
          <w:sz w:val="21"/>
          <w:szCs w:val="21"/>
          <w:lang w:val="en-US" w:eastAsia="zh-CN"/>
        </w:rPr>
        <w:t>大</w:t>
      </w:r>
      <w:r>
        <w:rPr>
          <w:rFonts w:hint="eastAsia" w:asciiTheme="minorEastAsia" w:hAnsiTheme="minorEastAsia" w:eastAsiaTheme="minorEastAsia" w:cstheme="minorEastAsia"/>
          <w:sz w:val="21"/>
          <w:szCs w:val="21"/>
        </w:rPr>
        <w:t>单元教学</w:t>
      </w:r>
      <w:r>
        <w:rPr>
          <w:rFonts w:hint="eastAsia" w:asciiTheme="minorEastAsia" w:hAnsiTheme="minorEastAsia" w:eastAsiaTheme="minorEastAsia" w:cstheme="minorEastAsia"/>
          <w:sz w:val="21"/>
          <w:szCs w:val="21"/>
          <w:lang w:val="en-US" w:eastAsia="zh-CN"/>
        </w:rPr>
        <w:t>内容</w:t>
      </w:r>
      <w:r>
        <w:rPr>
          <w:rFonts w:hint="eastAsia" w:asciiTheme="minorEastAsia" w:hAnsiTheme="minorEastAsia" w:eastAsiaTheme="minorEastAsia" w:cstheme="minorEastAsia"/>
          <w:sz w:val="21"/>
          <w:szCs w:val="21"/>
        </w:rPr>
        <w:t>研究方向，实施“</w:t>
      </w:r>
      <w:r>
        <w:rPr>
          <w:rFonts w:hint="eastAsia" w:asciiTheme="minorEastAsia" w:hAnsiTheme="minorEastAsia" w:eastAsiaTheme="minorEastAsia" w:cstheme="minorEastAsia"/>
          <w:sz w:val="21"/>
          <w:szCs w:val="21"/>
          <w:lang w:val="en-US" w:eastAsia="zh-CN"/>
        </w:rPr>
        <w:t>学科</w:t>
      </w:r>
      <w:r>
        <w:rPr>
          <w:rFonts w:hint="eastAsia" w:asciiTheme="minorEastAsia" w:hAnsiTheme="minorEastAsia" w:eastAsiaTheme="minorEastAsia" w:cstheme="minorEastAsia"/>
          <w:sz w:val="21"/>
          <w:szCs w:val="21"/>
        </w:rPr>
        <w:t>核心素养和</w:t>
      </w:r>
      <w:r>
        <w:rPr>
          <w:rFonts w:hint="eastAsia" w:asciiTheme="minorEastAsia" w:hAnsiTheme="minorEastAsia" w:eastAsiaTheme="minorEastAsia" w:cstheme="minorEastAsia"/>
          <w:sz w:val="21"/>
          <w:szCs w:val="21"/>
          <w:lang w:val="en-US" w:eastAsia="zh-CN"/>
        </w:rPr>
        <w:t>学科大概念</w:t>
      </w:r>
      <w:r>
        <w:rPr>
          <w:rFonts w:hint="eastAsia" w:asciiTheme="minorEastAsia" w:hAnsiTheme="minorEastAsia" w:eastAsiaTheme="minorEastAsia" w:cstheme="minorEastAsia"/>
          <w:sz w:val="21"/>
          <w:szCs w:val="21"/>
        </w:rPr>
        <w:t>主题”两个维度的</w:t>
      </w:r>
      <w:r>
        <w:rPr>
          <w:rFonts w:hint="eastAsia" w:asciiTheme="minorEastAsia" w:hAnsiTheme="minorEastAsia" w:eastAsiaTheme="minorEastAsia" w:cstheme="minorEastAsia"/>
          <w:sz w:val="21"/>
          <w:szCs w:val="21"/>
          <w:lang w:val="en-US" w:eastAsia="zh-CN"/>
        </w:rPr>
        <w:t>大</w:t>
      </w:r>
      <w:r>
        <w:rPr>
          <w:rFonts w:hint="eastAsia" w:asciiTheme="minorEastAsia" w:hAnsiTheme="minorEastAsia" w:eastAsiaTheme="minorEastAsia" w:cstheme="minorEastAsia"/>
          <w:sz w:val="21"/>
          <w:szCs w:val="21"/>
        </w:rPr>
        <w:t>单元教学实践研究</w:t>
      </w:r>
      <w:r>
        <w:rPr>
          <w:rFonts w:hint="eastAsia" w:asciiTheme="minorEastAsia" w:hAnsiTheme="minorEastAsia" w:cstheme="minorEastAsia"/>
          <w:sz w:val="21"/>
          <w:szCs w:val="21"/>
          <w:lang w:eastAsia="zh-CN"/>
        </w:rPr>
        <w:t>。</w:t>
      </w:r>
      <w:r>
        <w:rPr>
          <w:rFonts w:hint="eastAsia"/>
        </w:rPr>
        <w:t>2</w:t>
      </w:r>
      <w:r>
        <w:t>022</w:t>
      </w:r>
      <w:r>
        <w:rPr>
          <w:rFonts w:hint="eastAsia"/>
        </w:rPr>
        <w:t>年5月开启第一次课题专项主题教研活动，开始了教学实践研究。2022年9月，课题项目经汇报答辩，成为</w:t>
      </w:r>
      <w:r>
        <w:rPr>
          <w:rFonts w:hint="eastAsia"/>
          <w:lang w:val="en-US" w:eastAsia="zh-CN"/>
        </w:rPr>
        <w:t>常州市</w:t>
      </w:r>
      <w:r>
        <w:rPr>
          <w:rFonts w:hint="eastAsia"/>
        </w:rPr>
        <w:t>天宁区教育教学高品质三全项目。2</w:t>
      </w:r>
      <w:r>
        <w:t>023</w:t>
      </w:r>
      <w:r>
        <w:rPr>
          <w:rFonts w:hint="eastAsia"/>
        </w:rPr>
        <w:t>年6月，课题通过中期评估。2</w:t>
      </w:r>
      <w:r>
        <w:t>024</w:t>
      </w:r>
      <w:r>
        <w:rPr>
          <w:rFonts w:hint="eastAsia"/>
        </w:rPr>
        <w:t>年</w:t>
      </w:r>
      <w:r>
        <w:t>9</w:t>
      </w:r>
      <w:r>
        <w:rPr>
          <w:rFonts w:hint="eastAsia"/>
        </w:rPr>
        <w:t>月，义务教育化学新教材修订使用，结合新课标新教材内容与要求对课题研究进行适度修正。2</w:t>
      </w:r>
      <w:r>
        <w:t>024</w:t>
      </w:r>
      <w:r>
        <w:rPr>
          <w:rFonts w:hint="eastAsia"/>
        </w:rPr>
        <w:t>年1</w:t>
      </w:r>
      <w:r>
        <w:t>2</w:t>
      </w:r>
      <w:r>
        <w:rPr>
          <w:rFonts w:hint="eastAsia"/>
        </w:rPr>
        <w:t>月，收集整理资料，撰写结题报告。具体活动报道请查阅公众微信号：</w:t>
      </w:r>
    </w:p>
    <w:p w14:paraId="38D4E949">
      <w:pPr>
        <w:jc w:val="center"/>
        <w:rPr>
          <w:rFonts w:hint="eastAsia"/>
        </w:rPr>
      </w:pPr>
      <w:r>
        <w:rPr>
          <w:rFonts w:hint="eastAsia"/>
        </w:rPr>
        <w:t>【正本清源衡情度理】</w:t>
      </w:r>
    </w:p>
    <w:p w14:paraId="7C0B9323">
      <w:pPr>
        <w:jc w:val="center"/>
        <w:rPr>
          <w:rFonts w:hint="eastAsia"/>
        </w:rPr>
      </w:pPr>
      <w:r>
        <w:drawing>
          <wp:inline distT="0" distB="0" distL="114300" distR="114300">
            <wp:extent cx="1682115" cy="1623695"/>
            <wp:effectExtent l="0" t="0" r="13335" b="14605"/>
            <wp:docPr id="1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
                    <pic:cNvPicPr>
                      <a:picLocks noChangeAspect="1"/>
                    </pic:cNvPicPr>
                  </pic:nvPicPr>
                  <pic:blipFill>
                    <a:blip r:embed="rId7"/>
                    <a:stretch>
                      <a:fillRect/>
                    </a:stretch>
                  </pic:blipFill>
                  <pic:spPr>
                    <a:xfrm>
                      <a:off x="0" y="0"/>
                      <a:ext cx="1682115" cy="1623695"/>
                    </a:xfrm>
                    <a:prstGeom prst="rect">
                      <a:avLst/>
                    </a:prstGeom>
                  </pic:spPr>
                </pic:pic>
              </a:graphicData>
            </a:graphic>
          </wp:inline>
        </w:drawing>
      </w:r>
    </w:p>
    <w:p w14:paraId="3ED81064">
      <w:pPr>
        <w:ind w:firstLine="420" w:firstLineChars="200"/>
        <w:rPr>
          <w:b/>
          <w:bCs/>
        </w:rPr>
      </w:pPr>
      <w:r>
        <w:rPr>
          <w:rFonts w:hint="eastAsia"/>
          <w:b/>
          <w:bCs/>
        </w:rPr>
        <w:t>（三）研究内容的展开</w:t>
      </w:r>
    </w:p>
    <w:p w14:paraId="0F5C580A">
      <w:pPr>
        <w:ind w:firstLine="420"/>
      </w:pPr>
      <w:r>
        <w:rPr>
          <w:rFonts w:hint="eastAsia"/>
          <w:b/>
          <w:bCs/>
        </w:rPr>
        <w:t>1</w:t>
      </w:r>
      <w:r>
        <w:rPr>
          <w:b/>
          <w:bCs/>
        </w:rPr>
        <w:t>.</w:t>
      </w:r>
      <w:r>
        <w:rPr>
          <w:rFonts w:hint="eastAsia"/>
          <w:b/>
          <w:bCs/>
        </w:rPr>
        <w:t xml:space="preserve"> 学科核心素养导向下的初中化学单元教学实践的价值旨归研究</w:t>
      </w:r>
    </w:p>
    <w:p w14:paraId="2679C9A4">
      <w:pPr>
        <w:ind w:firstLine="420" w:firstLineChars="200"/>
        <w:rPr>
          <w:rFonts w:hint="default"/>
          <w:sz w:val="21"/>
          <w:szCs w:val="21"/>
          <w:lang w:val="en-US"/>
        </w:rPr>
      </w:pPr>
      <w:r>
        <w:rPr>
          <w:rFonts w:hint="eastAsia"/>
        </w:rPr>
        <w:t>围绕课题研究目标内容，我们先进行了文献查阅，分析了</w:t>
      </w:r>
      <w:r>
        <w:rPr>
          <w:rFonts w:hint="eastAsia"/>
          <w:sz w:val="21"/>
          <w:szCs w:val="21"/>
        </w:rPr>
        <w:t>文献内涵，了解了国内外研究动态，明确了“核心素养导向下的初中化学单元教学实践研究”的价值。</w:t>
      </w:r>
      <w:r>
        <w:rPr>
          <w:rFonts w:hint="eastAsia" w:asciiTheme="minorEastAsia" w:hAnsiTheme="minorEastAsia" w:eastAsiaTheme="minorEastAsia" w:cstheme="minorEastAsia"/>
          <w:b w:val="0"/>
          <w:bCs w:val="0"/>
          <w:sz w:val="21"/>
          <w:szCs w:val="21"/>
        </w:rPr>
        <w:t>在查阅资料的过程中，我们发现</w:t>
      </w:r>
      <w:r>
        <w:rPr>
          <w:rFonts w:hint="eastAsia"/>
          <w:sz w:val="21"/>
          <w:szCs w:val="21"/>
        </w:rPr>
        <w:t>核心素养导向下的初中化学单元教学实践研究</w:t>
      </w:r>
      <w:r>
        <w:rPr>
          <w:rFonts w:hint="eastAsia"/>
          <w:sz w:val="21"/>
          <w:szCs w:val="21"/>
          <w:lang w:eastAsia="zh-CN"/>
        </w:rPr>
        <w:t>，</w:t>
      </w:r>
      <w:r>
        <w:rPr>
          <w:rFonts w:hint="eastAsia"/>
          <w:sz w:val="21"/>
          <w:szCs w:val="21"/>
          <w:lang w:val="en-US" w:eastAsia="zh-CN"/>
        </w:rPr>
        <w:t>主要是立足于教与学方式的改变，从教学效果看，要解决的核心问题就是学生变获得惰性知识为发展核心素养，主要体现在以下两个方面：</w:t>
      </w:r>
    </w:p>
    <w:p w14:paraId="294A9774">
      <w:pPr>
        <w:ind w:firstLine="420" w:firstLineChars="200"/>
        <w:rPr>
          <w:rFonts w:hint="eastAsia"/>
          <w:sz w:val="21"/>
          <w:szCs w:val="21"/>
          <w:lang w:val="en-US" w:eastAsia="zh-CN"/>
        </w:rPr>
      </w:pPr>
      <w:r>
        <w:rPr>
          <w:rFonts w:hint="eastAsia"/>
          <w:sz w:val="21"/>
          <w:szCs w:val="21"/>
          <w:lang w:val="en-US" w:eastAsia="zh-CN"/>
        </w:rPr>
        <w:t>一是解决学生</w:t>
      </w:r>
      <w:r>
        <w:rPr>
          <w:rFonts w:hint="eastAsia"/>
          <w:sz w:val="21"/>
          <w:szCs w:val="21"/>
        </w:rPr>
        <w:t>化学学习中</w:t>
      </w:r>
      <w:r>
        <w:rPr>
          <w:rFonts w:hint="eastAsia"/>
          <w:sz w:val="21"/>
          <w:szCs w:val="21"/>
          <w:lang w:val="en-US" w:eastAsia="zh-CN"/>
        </w:rPr>
        <w:t>知识</w:t>
      </w:r>
      <w:r>
        <w:rPr>
          <w:rFonts w:hint="eastAsia"/>
          <w:sz w:val="21"/>
          <w:szCs w:val="21"/>
        </w:rPr>
        <w:t>“散、多、浅”</w:t>
      </w:r>
      <w:r>
        <w:rPr>
          <w:rFonts w:hint="eastAsia"/>
          <w:sz w:val="21"/>
          <w:szCs w:val="21"/>
          <w:lang w:val="en-US" w:eastAsia="zh-CN"/>
        </w:rPr>
        <w:t>的</w:t>
      </w:r>
      <w:r>
        <w:rPr>
          <w:rFonts w:hint="eastAsia"/>
          <w:sz w:val="21"/>
          <w:szCs w:val="21"/>
        </w:rPr>
        <w:t>问题</w:t>
      </w:r>
      <w:r>
        <w:rPr>
          <w:rFonts w:hint="eastAsia"/>
          <w:sz w:val="21"/>
          <w:szCs w:val="21"/>
          <w:lang w:eastAsia="zh-CN"/>
        </w:rPr>
        <w:t>。</w:t>
      </w:r>
      <w:r>
        <w:rPr>
          <w:rFonts w:hint="eastAsia"/>
          <w:sz w:val="21"/>
          <w:szCs w:val="21"/>
          <w:lang w:val="en-US" w:eastAsia="zh-CN"/>
        </w:rPr>
        <w:t>基于学科理解，通过提取并运用大概念，</w:t>
      </w:r>
      <w:r>
        <w:rPr>
          <w:rFonts w:hint="eastAsia"/>
          <w:sz w:val="21"/>
          <w:szCs w:val="21"/>
        </w:rPr>
        <w:t>整体设计和合理实施单元教学</w:t>
      </w:r>
      <w:r>
        <w:rPr>
          <w:rFonts w:hint="eastAsia"/>
          <w:sz w:val="21"/>
          <w:szCs w:val="21"/>
          <w:lang w:eastAsia="zh-CN"/>
        </w:rPr>
        <w:t>，</w:t>
      </w:r>
      <w:r>
        <w:rPr>
          <w:rFonts w:hint="eastAsia"/>
          <w:sz w:val="21"/>
          <w:szCs w:val="21"/>
          <w:lang w:val="en-US" w:eastAsia="zh-CN"/>
        </w:rPr>
        <w:t>突出目标、内容、评价、活动的一致性，强化核心知识之间的联结，使知识结构化、系统化，便于学生灵活调用。</w:t>
      </w:r>
    </w:p>
    <w:p w14:paraId="35A413CC">
      <w:pPr>
        <w:ind w:firstLine="420" w:firstLineChars="200"/>
        <w:rPr>
          <w:rFonts w:hint="eastAsia"/>
          <w:sz w:val="21"/>
          <w:szCs w:val="21"/>
          <w:lang w:val="en-US" w:eastAsia="zh-CN"/>
        </w:rPr>
      </w:pPr>
      <w:r>
        <w:rPr>
          <w:rFonts w:hint="eastAsia"/>
          <w:sz w:val="21"/>
          <w:szCs w:val="21"/>
          <w:lang w:val="en-US" w:eastAsia="zh-CN"/>
        </w:rPr>
        <w:t>二是解决学生在真实问题情境中实现知识迁移的问题。“素养”就是指能在真实性情境中解决问题，使知识不再具有“惰性”。基于核心素养，通过创设真实生产或生活情境，让学生在完成真实任务过程中实现知识迁移，使知识功能化、素养化，发展学生的核心素养。</w:t>
      </w:r>
    </w:p>
    <w:p w14:paraId="2DF7D08C">
      <w:pPr>
        <w:ind w:firstLine="420" w:firstLineChars="200"/>
        <w:rPr>
          <w:rFonts w:hint="eastAsia"/>
          <w:sz w:val="21"/>
          <w:szCs w:val="21"/>
          <w:lang w:val="en-US" w:eastAsia="zh-CN"/>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学科核心素养导向下的初中化学单元教学实践的方法与路径研究</w:t>
      </w:r>
    </w:p>
    <w:p w14:paraId="267F8442">
      <w:pPr>
        <w:ind w:firstLine="420"/>
      </w:pPr>
      <w:r>
        <w:rPr>
          <w:rFonts w:hint="eastAsia"/>
          <w:b/>
          <w:bCs/>
          <w:lang w:eastAsia="zh-CN"/>
        </w:rPr>
        <w:t>（</w:t>
      </w:r>
      <w:r>
        <w:rPr>
          <w:rFonts w:hint="eastAsia"/>
          <w:b/>
          <w:bCs/>
          <w:lang w:val="en-US" w:eastAsia="zh-CN"/>
        </w:rPr>
        <w:t>1</w:t>
      </w:r>
      <w:r>
        <w:rPr>
          <w:rFonts w:hint="eastAsia"/>
          <w:b/>
          <w:bCs/>
          <w:lang w:eastAsia="zh-CN"/>
        </w:rPr>
        <w:t>）</w:t>
      </w:r>
      <w:r>
        <w:rPr>
          <w:rFonts w:hint="eastAsia"/>
          <w:b/>
          <w:bCs/>
        </w:rPr>
        <w:t>课题组基地学校架构与研究团队组建成员遴选及分工安排</w:t>
      </w:r>
    </w:p>
    <w:p w14:paraId="30D57EA3">
      <w:pPr>
        <w:ind w:firstLine="420"/>
      </w:pPr>
      <w:r>
        <w:rPr>
          <w:rFonts w:hint="eastAsia"/>
        </w:rPr>
        <w:t>依托经开区、天宁区教师发展中心的教研力量的行政推动作用，确定了课题研究的基地学校常州市正衡中学、常州市正衡中学天宁分校、常州市</w:t>
      </w:r>
      <w:r>
        <w:t>24</w:t>
      </w:r>
      <w:r>
        <w:rPr>
          <w:rFonts w:hint="eastAsia"/>
        </w:rPr>
        <w:t>中天宁分校、常州市武进区横山桥初级中学、常州市武进区横林初级中学、常州经开区初级中学、常州市武进区剑湖实验学校，课题组研究成员除了来自基地学校还有武进区遥观初级中学、武进区芙蓉初级中学、常州经开区实验初级中学、常州市戚墅堰实验中学、常州市第四中学、常州市实验初中天宁分校、天宁区郑陆实验学校、天宁区东青实验学校、常州市清潭中学、常州市田家炳初级中学、常州市教科院附属初级中学。经课题组会议讨论交流，课题研究分为四个主题组（</w:t>
      </w:r>
      <w:r>
        <w:rPr>
          <w:rFonts w:hint="eastAsia" w:ascii="楷体" w:hAnsi="楷体" w:eastAsia="楷体"/>
          <w:szCs w:val="21"/>
        </w:rPr>
        <w:t>图3</w:t>
      </w:r>
      <w:r>
        <w:rPr>
          <w:rFonts w:hint="eastAsia"/>
        </w:rPr>
        <w:t>）开展教学实践探索，并确定了每个主题组的组长和组员。从课程资源开发、单元教学目标、内容、实施指导意见及评价等方面同步研究，架构了教学实践的一般步骤。</w:t>
      </w:r>
    </w:p>
    <w:p w14:paraId="07095535">
      <w:pPr>
        <w:ind w:firstLine="420"/>
      </w:pPr>
      <w:r>
        <w:rPr>
          <w:rFonts w:hint="eastAsia"/>
        </w:rPr>
        <w:drawing>
          <wp:anchor distT="0" distB="0" distL="114300" distR="114300" simplePos="0" relativeHeight="251663360" behindDoc="1" locked="0" layoutInCell="1" allowOverlap="1">
            <wp:simplePos x="0" y="0"/>
            <wp:positionH relativeFrom="column">
              <wp:posOffset>254000</wp:posOffset>
            </wp:positionH>
            <wp:positionV relativeFrom="paragraph">
              <wp:posOffset>0</wp:posOffset>
            </wp:positionV>
            <wp:extent cx="4864735" cy="1718310"/>
            <wp:effectExtent l="0" t="0" r="12065" b="1524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4864735" cy="1718310"/>
                    </a:xfrm>
                    <a:prstGeom prst="rect">
                      <a:avLst/>
                    </a:prstGeom>
                    <a:noFill/>
                    <a:ln>
                      <a:noFill/>
                    </a:ln>
                  </pic:spPr>
                </pic:pic>
              </a:graphicData>
            </a:graphic>
          </wp:anchor>
        </w:drawing>
      </w:r>
    </w:p>
    <w:p w14:paraId="1B036206">
      <w:pPr>
        <w:ind w:firstLine="420"/>
      </w:pPr>
    </w:p>
    <w:p w14:paraId="4E791578">
      <w:pPr>
        <w:ind w:firstLine="420"/>
      </w:pPr>
    </w:p>
    <w:p w14:paraId="4CD1F234">
      <w:pPr>
        <w:ind w:firstLine="420"/>
      </w:pPr>
    </w:p>
    <w:p w14:paraId="6ADA8CE0">
      <w:pPr>
        <w:ind w:firstLine="420"/>
      </w:pPr>
    </w:p>
    <w:p w14:paraId="1452E454">
      <w:pPr>
        <w:ind w:firstLine="420"/>
      </w:pPr>
    </w:p>
    <w:p w14:paraId="5E0A7E51">
      <w:pPr>
        <w:ind w:firstLine="420"/>
      </w:pPr>
    </w:p>
    <w:p w14:paraId="128C63C6">
      <w:pPr>
        <w:ind w:firstLine="420"/>
      </w:pPr>
    </w:p>
    <w:p w14:paraId="5F8801A6">
      <w:pPr>
        <w:ind w:firstLine="420"/>
      </w:pPr>
    </w:p>
    <w:p w14:paraId="4E4FC601">
      <w:pPr>
        <w:ind w:firstLine="3780" w:firstLineChars="1800"/>
      </w:pPr>
      <w:r>
        <w:rPr>
          <w:rFonts w:hint="eastAsia" w:ascii="楷体" w:hAnsi="楷体" w:eastAsia="楷体"/>
          <w:szCs w:val="21"/>
        </w:rPr>
        <w:t>图3</w:t>
      </w:r>
    </w:p>
    <w:p w14:paraId="475C5766">
      <w:pPr>
        <w:ind w:firstLine="420"/>
      </w:pPr>
      <w:r>
        <w:rPr>
          <w:rFonts w:hint="eastAsia"/>
        </w:rPr>
        <w:t>课题组把沪教版义务教育化学课程教材上、下册共9个单元（或章）分别纳入四个主题之中，其中第2、5、6、7章属于第一组，第3章属于第二组，第4章属于第三组，第8、9章属于第四组。</w:t>
      </w:r>
    </w:p>
    <w:p w14:paraId="59F70C87">
      <w:pPr>
        <w:ind w:firstLine="420"/>
        <w:rPr>
          <w:rFonts w:hint="eastAsia" w:asciiTheme="minorEastAsia" w:hAnsiTheme="minorEastAsia" w:eastAsiaTheme="minorEastAsia" w:cstheme="minorEastAsia"/>
          <w:b/>
          <w:bCs/>
          <w:sz w:val="21"/>
          <w:szCs w:val="21"/>
        </w:rPr>
      </w:pPr>
      <w:r>
        <w:rPr>
          <w:rFonts w:hint="eastAsia"/>
          <w:b/>
          <w:bCs/>
          <w:lang w:val="en-US" w:eastAsia="zh-CN"/>
        </w:rPr>
        <w:t>(2)</w:t>
      </w:r>
      <w:r>
        <w:rPr>
          <w:rFonts w:hint="eastAsia" w:asciiTheme="minorEastAsia" w:hAnsiTheme="minorEastAsia" w:eastAsiaTheme="minorEastAsia" w:cstheme="minorEastAsia"/>
          <w:b/>
          <w:bCs/>
          <w:sz w:val="21"/>
          <w:szCs w:val="21"/>
        </w:rPr>
        <w:t>构建单元教学理论框架</w:t>
      </w:r>
    </w:p>
    <w:p w14:paraId="0B1F9D38">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一个单元教学设计的基本框架包括构建教学单元</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制定教学目标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分析学习起点</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设计教学过程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设计教学评价</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反思教学效果</w:t>
      </w:r>
      <w:r>
        <w:rPr>
          <w:rFonts w:hint="eastAsia" w:asciiTheme="minorEastAsia" w:hAnsiTheme="minorEastAsia" w:eastAsiaTheme="minorEastAsia" w:cstheme="minorEastAsia"/>
          <w:sz w:val="21"/>
          <w:szCs w:val="21"/>
          <w:lang w:val="en-US" w:eastAsia="zh-CN"/>
        </w:rPr>
        <w:t>六个环节。</w:t>
      </w:r>
    </w:p>
    <w:p w14:paraId="377DE074">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①</w:t>
      </w:r>
      <w:r>
        <w:rPr>
          <w:rFonts w:hint="eastAsia" w:asciiTheme="minorEastAsia" w:hAnsiTheme="minorEastAsia" w:eastAsiaTheme="minorEastAsia" w:cstheme="minorEastAsia"/>
          <w:b w:val="0"/>
          <w:bCs w:val="0"/>
          <w:color w:val="000000"/>
          <w:sz w:val="21"/>
          <w:szCs w:val="21"/>
        </w:rPr>
        <w:t>构建教学单元: 分析课程标准相关内容</w:t>
      </w:r>
      <w:r>
        <w:rPr>
          <w:rFonts w:hint="eastAsia" w:asciiTheme="minorEastAsia" w:hAnsiTheme="minorEastAsia" w:eastAsiaTheme="minorEastAsia" w:cstheme="minorEastAsia"/>
          <w:b w:val="0"/>
          <w:bCs w:val="0"/>
          <w:color w:val="000000"/>
          <w:sz w:val="21"/>
          <w:szCs w:val="21"/>
          <w:lang w:val="en-US" w:eastAsia="zh-CN"/>
        </w:rPr>
        <w:t>及</w:t>
      </w:r>
      <w:r>
        <w:rPr>
          <w:rFonts w:hint="eastAsia" w:asciiTheme="minorEastAsia" w:hAnsiTheme="minorEastAsia" w:eastAsiaTheme="minorEastAsia" w:cstheme="minorEastAsia"/>
          <w:b w:val="0"/>
          <w:bCs w:val="0"/>
          <w:color w:val="000000"/>
          <w:sz w:val="21"/>
          <w:szCs w:val="21"/>
        </w:rPr>
        <w:t xml:space="preserve">学业要求以及教材编排，构建一个中心目标导向的、符合单元基本属性的教学单元，划分课时。 </w:t>
      </w:r>
    </w:p>
    <w:p w14:paraId="1DF862D9">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②</w:t>
      </w:r>
      <w:r>
        <w:rPr>
          <w:rFonts w:hint="eastAsia" w:asciiTheme="minorEastAsia" w:hAnsiTheme="minorEastAsia" w:eastAsiaTheme="minorEastAsia" w:cstheme="minorEastAsia"/>
          <w:b w:val="0"/>
          <w:bCs w:val="0"/>
          <w:color w:val="000000"/>
          <w:sz w:val="21"/>
          <w:szCs w:val="21"/>
        </w:rPr>
        <w:t>制定教学目标: 基于课程标准要求、单元内容、学生特点以及教学资源的综合分析制定教学目标</w:t>
      </w:r>
      <w:r>
        <w:rPr>
          <w:rFonts w:hint="eastAsia" w:asciiTheme="minorEastAsia" w:hAnsiTheme="minorEastAsia" w:eastAsiaTheme="minorEastAsia" w:cstheme="minorEastAsia"/>
          <w:b w:val="0"/>
          <w:bCs w:val="0"/>
          <w:color w:val="000000"/>
          <w:sz w:val="21"/>
          <w:szCs w:val="21"/>
          <w:lang w:eastAsia="zh-CN"/>
        </w:rPr>
        <w:t>。</w:t>
      </w:r>
      <w:r>
        <w:rPr>
          <w:rFonts w:hint="eastAsia" w:asciiTheme="minorEastAsia" w:hAnsiTheme="minorEastAsia" w:eastAsiaTheme="minorEastAsia" w:cstheme="minorEastAsia"/>
          <w:b w:val="0"/>
          <w:bCs w:val="0"/>
          <w:color w:val="000000"/>
          <w:sz w:val="21"/>
          <w:szCs w:val="21"/>
        </w:rPr>
        <w:t xml:space="preserve">以总述单元目标及分述课时目标的方式呈现和表述。 </w:t>
      </w:r>
    </w:p>
    <w:p w14:paraId="26D0D4FF">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③</w:t>
      </w:r>
      <w:r>
        <w:rPr>
          <w:rFonts w:hint="eastAsia" w:asciiTheme="minorEastAsia" w:hAnsiTheme="minorEastAsia" w:eastAsiaTheme="minorEastAsia" w:cstheme="minorEastAsia"/>
          <w:b w:val="0"/>
          <w:bCs w:val="0"/>
          <w:color w:val="000000"/>
          <w:sz w:val="21"/>
          <w:szCs w:val="21"/>
        </w:rPr>
        <w:t xml:space="preserve">分析学习起点: 分析与单元相关的学生已有知识经验、前概念或学习困难等，为相应教学策略的制定找到依据。 </w:t>
      </w:r>
    </w:p>
    <w:p w14:paraId="0FB6FCE5">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④</w:t>
      </w:r>
      <w:r>
        <w:rPr>
          <w:rFonts w:hint="eastAsia" w:asciiTheme="minorEastAsia" w:hAnsiTheme="minorEastAsia" w:eastAsiaTheme="minorEastAsia" w:cstheme="minorEastAsia"/>
          <w:b w:val="0"/>
          <w:bCs w:val="0"/>
          <w:color w:val="000000"/>
          <w:sz w:val="21"/>
          <w:szCs w:val="21"/>
        </w:rPr>
        <w:t xml:space="preserve">设计教学过程: 包括单元情境、问题、任务与活动的整体设计框架，以及每个课时的具体展开。 </w:t>
      </w:r>
    </w:p>
    <w:p w14:paraId="51A46BDA">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⑤</w:t>
      </w:r>
      <w:r>
        <w:rPr>
          <w:rFonts w:hint="eastAsia" w:asciiTheme="minorEastAsia" w:hAnsiTheme="minorEastAsia" w:eastAsiaTheme="minorEastAsia" w:cstheme="minorEastAsia"/>
          <w:b w:val="0"/>
          <w:bCs w:val="0"/>
          <w:color w:val="000000"/>
          <w:sz w:val="21"/>
          <w:szCs w:val="21"/>
        </w:rPr>
        <w:t xml:space="preserve">设计教学评价: 课堂中将评价任务嵌于教学过程中，课后精选作业、精心设计单元练习，以获得教学目标达成的证据。可在单元教学设计方案中用双向细目表形式呈现作业或练习，体现单元目标下“教、学、评”的一致性关系，避免作业或练习布置的随意性。 </w:t>
      </w:r>
    </w:p>
    <w:p w14:paraId="075601D6">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lang w:eastAsia="zh-CN"/>
        </w:rPr>
        <w:t>⑥</w:t>
      </w:r>
      <w:r>
        <w:rPr>
          <w:rFonts w:hint="eastAsia" w:asciiTheme="minorEastAsia" w:hAnsiTheme="minorEastAsia" w:eastAsiaTheme="minorEastAsia" w:cstheme="minorEastAsia"/>
          <w:b w:val="0"/>
          <w:bCs w:val="0"/>
          <w:color w:val="000000"/>
          <w:sz w:val="21"/>
          <w:szCs w:val="21"/>
        </w:rPr>
        <w:t>反思教学效果: 基于教学评价的证据，反思教学设计的成功和不足之处，以改进教学，促进师生共同发展。</w:t>
      </w:r>
    </w:p>
    <w:p w14:paraId="3746DE5D">
      <w:pPr>
        <w:numPr>
          <w:ilvl w:val="0"/>
          <w:numId w:val="0"/>
        </w:numPr>
        <w:ind w:firstLine="420" w:firstLineChars="200"/>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sz w:val="21"/>
          <w:szCs w:val="21"/>
          <w:lang w:val="en-US" w:eastAsia="zh-CN"/>
        </w:rPr>
        <w:t>基于以上框架</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参照课程标准，</w:t>
      </w:r>
      <w:r>
        <w:rPr>
          <w:rFonts w:hint="eastAsia" w:asciiTheme="minorEastAsia" w:hAnsiTheme="minorEastAsia" w:eastAsiaTheme="minorEastAsia" w:cstheme="minorEastAsia"/>
          <w:b w:val="0"/>
          <w:bCs w:val="0"/>
          <w:sz w:val="21"/>
          <w:szCs w:val="21"/>
        </w:rPr>
        <w:t>以系统思维为指导，制定单元教学实施纲要，</w:t>
      </w:r>
      <w:r>
        <w:rPr>
          <w:rFonts w:hint="eastAsia" w:asciiTheme="minorEastAsia" w:hAnsiTheme="minorEastAsia" w:eastAsiaTheme="minorEastAsia" w:cstheme="minorEastAsia"/>
          <w:b w:val="0"/>
          <w:bCs w:val="0"/>
          <w:sz w:val="21"/>
          <w:szCs w:val="21"/>
          <w:lang w:val="en-US" w:eastAsia="zh-CN"/>
        </w:rPr>
        <w:t>确定</w:t>
      </w:r>
      <w:r>
        <w:rPr>
          <w:rFonts w:hint="eastAsia" w:asciiTheme="minorEastAsia" w:hAnsiTheme="minorEastAsia" w:eastAsiaTheme="minorEastAsia" w:cstheme="minorEastAsia"/>
          <w:b w:val="0"/>
          <w:bCs w:val="0"/>
          <w:sz w:val="21"/>
          <w:szCs w:val="21"/>
        </w:rPr>
        <w:t>单元教学设计模型。</w:t>
      </w:r>
    </w:p>
    <w:p w14:paraId="3DA7A86C">
      <w:pPr>
        <w:ind w:firstLine="420"/>
        <w:rPr>
          <w:rFonts w:hint="eastAsia" w:eastAsiaTheme="minorEastAsia"/>
          <w:b/>
          <w:bCs/>
          <w:lang w:eastAsia="zh-CN"/>
        </w:rPr>
      </w:pPr>
      <w:r>
        <w:rPr>
          <w:rFonts w:hint="eastAsia" w:asciiTheme="minorEastAsia" w:hAnsiTheme="minorEastAsia" w:eastAsiaTheme="minorEastAsia" w:cstheme="minorEastAsia"/>
          <w:b/>
          <w:bCs/>
          <w:sz w:val="21"/>
          <w:szCs w:val="21"/>
        </w:rPr>
        <w:t>制定单元教学实施纲要</w:t>
      </w:r>
      <w:r>
        <w:rPr>
          <w:rFonts w:hint="eastAsia" w:asciiTheme="minorEastAsia" w:hAnsiTheme="minorEastAsia" w:cstheme="minorEastAsia"/>
          <w:b/>
          <w:bCs/>
          <w:sz w:val="21"/>
          <w:szCs w:val="21"/>
          <w:lang w:eastAsia="zh-CN"/>
        </w:rPr>
        <w:t>：</w:t>
      </w:r>
    </w:p>
    <w:p w14:paraId="4EF83BA1">
      <w:pPr>
        <w:ind w:firstLine="420"/>
        <w:rPr>
          <w:rFonts w:hint="eastAsia"/>
        </w:rPr>
      </w:pPr>
      <w:r>
        <w:rPr>
          <w:rFonts w:hint="eastAsia"/>
        </w:rPr>
        <w:t>参照</w:t>
      </w:r>
      <w:r>
        <w:rPr>
          <w:rFonts w:hint="eastAsia"/>
          <w:lang w:val="en-US" w:eastAsia="zh-CN"/>
        </w:rPr>
        <w:t>新课标内容，</w:t>
      </w:r>
      <w:r>
        <w:rPr>
          <w:rFonts w:hint="eastAsia"/>
        </w:rPr>
        <w:t>在进行每一个单元的新课教学设计及实践研究前，按照新课标各大主题的内容框架与逆向教学设计的关系（</w:t>
      </w:r>
      <w:r>
        <w:rPr>
          <w:rFonts w:hint="eastAsia" w:ascii="楷体" w:hAnsi="楷体" w:eastAsia="楷体"/>
        </w:rPr>
        <w:t>图</w:t>
      </w:r>
      <w:r>
        <w:rPr>
          <w:rFonts w:ascii="楷体" w:hAnsi="楷体" w:eastAsia="楷体"/>
        </w:rPr>
        <w:t>4</w:t>
      </w:r>
      <w:r>
        <w:rPr>
          <w:rFonts w:hint="eastAsia"/>
        </w:rPr>
        <w:t>），每一主题组按照如下的4个步骤流程编写每一单元的教学实施纲要：</w:t>
      </w:r>
    </w:p>
    <w:p w14:paraId="517FFA6A">
      <w:pPr>
        <w:jc w:val="center"/>
        <w:rPr>
          <w:rFonts w:hint="eastAsia" w:ascii="楷体" w:hAnsi="楷体" w:eastAsia="楷体"/>
        </w:rPr>
      </w:pPr>
      <w:r>
        <w:rPr>
          <w:rFonts w:hint="eastAsia"/>
        </w:rPr>
        <w:drawing>
          <wp:inline distT="0" distB="0" distL="114300" distR="114300">
            <wp:extent cx="4697730" cy="2348230"/>
            <wp:effectExtent l="0" t="0" r="762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697730" cy="2348230"/>
                    </a:xfrm>
                    <a:prstGeom prst="rect">
                      <a:avLst/>
                    </a:prstGeom>
                    <a:noFill/>
                    <a:ln>
                      <a:noFill/>
                    </a:ln>
                  </pic:spPr>
                </pic:pic>
              </a:graphicData>
            </a:graphic>
          </wp:inline>
        </w:drawing>
      </w:r>
    </w:p>
    <w:p w14:paraId="15E97725">
      <w:pPr>
        <w:jc w:val="center"/>
        <w:rPr>
          <w:rFonts w:ascii="楷体" w:hAnsi="楷体" w:eastAsia="楷体"/>
        </w:rPr>
      </w:pPr>
      <w:r>
        <w:rPr>
          <w:rFonts w:hint="eastAsia" w:ascii="楷体" w:hAnsi="楷体" w:eastAsia="楷体"/>
        </w:rPr>
        <w:t>图</w:t>
      </w:r>
      <w:r>
        <w:rPr>
          <w:rFonts w:ascii="楷体" w:hAnsi="楷体" w:eastAsia="楷体"/>
        </w:rPr>
        <w:t>4</w:t>
      </w:r>
      <w:r>
        <w:rPr>
          <w:rFonts w:hint="eastAsia" w:ascii="楷体" w:hAnsi="楷体" w:eastAsia="楷体"/>
        </w:rPr>
        <w:t xml:space="preserve"> 课程内容各大主题内容框架与逆向教学设计的关系</w:t>
      </w:r>
    </w:p>
    <w:p w14:paraId="3778C8C6">
      <w:pPr>
        <w:ind w:firstLine="420"/>
      </w:pPr>
      <w:r>
        <w:rPr>
          <w:rFonts w:hint="eastAsia"/>
          <w:b/>
        </w:rPr>
        <w:t>步骤1：确定每章的学习内容、评价目标及要求</w:t>
      </w:r>
      <w:r>
        <w:rPr>
          <w:rFonts w:hint="eastAsia"/>
        </w:rPr>
        <w:t>（</w:t>
      </w:r>
      <w:r>
        <w:rPr>
          <w:rFonts w:hint="eastAsia" w:ascii="楷体" w:hAnsi="楷体" w:eastAsia="楷体"/>
        </w:rPr>
        <w:t>图</w:t>
      </w:r>
      <w:r>
        <w:rPr>
          <w:rFonts w:ascii="楷体" w:hAnsi="楷体" w:eastAsia="楷体"/>
        </w:rPr>
        <w:t>5</w:t>
      </w:r>
      <w:r>
        <w:rPr>
          <w:rFonts w:hint="eastAsia"/>
        </w:rPr>
        <w:t>）</w:t>
      </w:r>
    </w:p>
    <w:p w14:paraId="77DFD02F">
      <w:pPr>
        <w:jc w:val="center"/>
      </w:pPr>
      <w:r>
        <w:rPr>
          <w:rFonts w:hint="eastAsia"/>
        </w:rPr>
        <w:drawing>
          <wp:inline distT="0" distB="0" distL="114300" distR="114300">
            <wp:extent cx="4774565" cy="1313180"/>
            <wp:effectExtent l="0" t="0" r="698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774565" cy="1313180"/>
                    </a:xfrm>
                    <a:prstGeom prst="rect">
                      <a:avLst/>
                    </a:prstGeom>
                    <a:noFill/>
                    <a:ln>
                      <a:noFill/>
                    </a:ln>
                  </pic:spPr>
                </pic:pic>
              </a:graphicData>
            </a:graphic>
          </wp:inline>
        </w:drawing>
      </w:r>
    </w:p>
    <w:p w14:paraId="1F33298D">
      <w:pPr>
        <w:jc w:val="center"/>
        <w:rPr>
          <w:rFonts w:ascii="楷体" w:hAnsi="楷体" w:eastAsia="楷体"/>
        </w:rPr>
      </w:pPr>
      <w:r>
        <w:rPr>
          <w:rFonts w:hint="eastAsia" w:ascii="楷体" w:hAnsi="楷体" w:eastAsia="楷体"/>
        </w:rPr>
        <w:t>图</w:t>
      </w:r>
      <w:r>
        <w:rPr>
          <w:rFonts w:ascii="楷体" w:hAnsi="楷体" w:eastAsia="楷体"/>
        </w:rPr>
        <w:t>5</w:t>
      </w:r>
      <w:r>
        <w:rPr>
          <w:rFonts w:hint="eastAsia" w:ascii="楷体" w:hAnsi="楷体" w:eastAsia="楷体"/>
        </w:rPr>
        <w:t xml:space="preserve"> 确定每章的学习内容、评价目标及要求</w:t>
      </w:r>
    </w:p>
    <w:p w14:paraId="43925883">
      <w:pPr>
        <w:ind w:firstLine="420"/>
      </w:pPr>
      <w:r>
        <w:rPr>
          <w:rFonts w:hint="eastAsia"/>
          <w:b/>
        </w:rPr>
        <w:t>步骤2：根据“每章的学习内容”，确定预期结果</w:t>
      </w:r>
      <w:r>
        <w:rPr>
          <w:rFonts w:hint="eastAsia"/>
        </w:rPr>
        <w:t>（</w:t>
      </w:r>
      <w:r>
        <w:rPr>
          <w:rFonts w:hint="eastAsia" w:ascii="楷体" w:hAnsi="楷体" w:eastAsia="楷体"/>
        </w:rPr>
        <w:t>图</w:t>
      </w:r>
      <w:r>
        <w:rPr>
          <w:rFonts w:ascii="楷体" w:hAnsi="楷体" w:eastAsia="楷体"/>
        </w:rPr>
        <w:t>6</w:t>
      </w:r>
      <w:r>
        <w:rPr>
          <w:rFonts w:hint="eastAsia"/>
        </w:rPr>
        <w:t>）</w:t>
      </w:r>
    </w:p>
    <w:p w14:paraId="7C8B908D">
      <w:pPr>
        <w:jc w:val="center"/>
      </w:pPr>
      <w:r>
        <w:rPr>
          <w:rFonts w:hint="eastAsia"/>
        </w:rPr>
        <w:drawing>
          <wp:inline distT="0" distB="0" distL="114300" distR="114300">
            <wp:extent cx="4764405" cy="760095"/>
            <wp:effectExtent l="0" t="0" r="1714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4764405" cy="760095"/>
                    </a:xfrm>
                    <a:prstGeom prst="rect">
                      <a:avLst/>
                    </a:prstGeom>
                    <a:noFill/>
                    <a:ln>
                      <a:noFill/>
                    </a:ln>
                  </pic:spPr>
                </pic:pic>
              </a:graphicData>
            </a:graphic>
          </wp:inline>
        </w:drawing>
      </w:r>
    </w:p>
    <w:p w14:paraId="5ADF65F2">
      <w:pPr>
        <w:jc w:val="center"/>
      </w:pPr>
      <w:r>
        <w:rPr>
          <w:rFonts w:hint="eastAsia" w:ascii="楷体" w:hAnsi="楷体" w:eastAsia="楷体"/>
        </w:rPr>
        <w:t>图</w:t>
      </w:r>
      <w:r>
        <w:rPr>
          <w:rFonts w:ascii="楷体" w:hAnsi="楷体" w:eastAsia="楷体"/>
        </w:rPr>
        <w:t>6</w:t>
      </w:r>
      <w:r>
        <w:rPr>
          <w:rFonts w:hint="eastAsia" w:ascii="楷体" w:hAnsi="楷体" w:eastAsia="楷体"/>
        </w:rPr>
        <w:t xml:space="preserve"> 预期结果包含的要素</w:t>
      </w:r>
    </w:p>
    <w:p w14:paraId="4EC16008">
      <w:pPr>
        <w:ind w:firstLine="420"/>
      </w:pPr>
      <w:r>
        <w:rPr>
          <w:rFonts w:hint="eastAsia"/>
          <w:b/>
        </w:rPr>
        <w:t>步骤3：根据“评价目标及要求”，确定评估证据</w:t>
      </w:r>
      <w:r>
        <w:rPr>
          <w:rFonts w:hint="eastAsia"/>
        </w:rPr>
        <w:t>（</w:t>
      </w:r>
      <w:r>
        <w:rPr>
          <w:rFonts w:hint="eastAsia" w:ascii="楷体" w:hAnsi="楷体" w:eastAsia="楷体"/>
        </w:rPr>
        <w:t>图</w:t>
      </w:r>
      <w:r>
        <w:rPr>
          <w:rFonts w:ascii="楷体" w:hAnsi="楷体" w:eastAsia="楷体"/>
        </w:rPr>
        <w:t>7</w:t>
      </w:r>
      <w:r>
        <w:rPr>
          <w:rFonts w:hint="eastAsia"/>
        </w:rPr>
        <w:t>）</w:t>
      </w:r>
    </w:p>
    <w:p w14:paraId="30277A92">
      <w:pPr>
        <w:jc w:val="center"/>
      </w:pPr>
      <w:r>
        <w:rPr>
          <w:rFonts w:hint="eastAsia"/>
        </w:rPr>
        <w:drawing>
          <wp:inline distT="0" distB="0" distL="114300" distR="114300">
            <wp:extent cx="4730750" cy="751205"/>
            <wp:effectExtent l="0" t="0" r="12700"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730750" cy="751205"/>
                    </a:xfrm>
                    <a:prstGeom prst="rect">
                      <a:avLst/>
                    </a:prstGeom>
                    <a:noFill/>
                    <a:ln>
                      <a:noFill/>
                    </a:ln>
                  </pic:spPr>
                </pic:pic>
              </a:graphicData>
            </a:graphic>
          </wp:inline>
        </w:drawing>
      </w:r>
    </w:p>
    <w:p w14:paraId="106E3981">
      <w:pPr>
        <w:jc w:val="center"/>
      </w:pPr>
      <w:r>
        <w:rPr>
          <w:rFonts w:hint="eastAsia" w:ascii="楷体" w:hAnsi="楷体" w:eastAsia="楷体"/>
        </w:rPr>
        <w:t>图</w:t>
      </w:r>
      <w:r>
        <w:rPr>
          <w:rFonts w:ascii="楷体" w:hAnsi="楷体" w:eastAsia="楷体"/>
        </w:rPr>
        <w:t>7</w:t>
      </w:r>
      <w:r>
        <w:rPr>
          <w:rFonts w:hint="eastAsia" w:ascii="楷体" w:hAnsi="楷体" w:eastAsia="楷体"/>
        </w:rPr>
        <w:t xml:space="preserve"> 评估证据包含的要素</w:t>
      </w:r>
    </w:p>
    <w:p w14:paraId="7EDF91E8">
      <w:pPr>
        <w:ind w:firstLine="420"/>
      </w:pPr>
      <w:r>
        <w:rPr>
          <w:rFonts w:hint="eastAsia"/>
          <w:b/>
        </w:rPr>
        <w:t>步骤4：根据“预期结果”和“评估证据”，确定学习活动</w:t>
      </w:r>
      <w:r>
        <w:rPr>
          <w:rFonts w:hint="eastAsia"/>
        </w:rPr>
        <w:t>（</w:t>
      </w:r>
      <w:r>
        <w:rPr>
          <w:rFonts w:hint="eastAsia" w:ascii="楷体" w:hAnsi="楷体" w:eastAsia="楷体"/>
        </w:rPr>
        <w:t>图</w:t>
      </w:r>
      <w:r>
        <w:rPr>
          <w:rFonts w:ascii="楷体" w:hAnsi="楷体" w:eastAsia="楷体"/>
        </w:rPr>
        <w:t>8</w:t>
      </w:r>
      <w:r>
        <w:rPr>
          <w:rFonts w:hint="eastAsia"/>
        </w:rPr>
        <w:t>）</w:t>
      </w:r>
    </w:p>
    <w:p w14:paraId="1CBDCDF2">
      <w:pPr>
        <w:jc w:val="center"/>
      </w:pPr>
      <w:r>
        <w:rPr>
          <w:rFonts w:hint="eastAsia"/>
        </w:rPr>
        <w:drawing>
          <wp:inline distT="0" distB="0" distL="114300" distR="114300">
            <wp:extent cx="4765040" cy="763270"/>
            <wp:effectExtent l="0" t="0" r="16510" b="177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4765040" cy="763270"/>
                    </a:xfrm>
                    <a:prstGeom prst="rect">
                      <a:avLst/>
                    </a:prstGeom>
                    <a:noFill/>
                    <a:ln>
                      <a:noFill/>
                    </a:ln>
                  </pic:spPr>
                </pic:pic>
              </a:graphicData>
            </a:graphic>
          </wp:inline>
        </w:drawing>
      </w:r>
    </w:p>
    <w:p w14:paraId="6ACDEF65">
      <w:pPr>
        <w:jc w:val="center"/>
        <w:rPr>
          <w:rFonts w:hint="eastAsia" w:ascii="楷体" w:hAnsi="楷体" w:eastAsia="楷体"/>
        </w:rPr>
      </w:pPr>
      <w:r>
        <w:rPr>
          <w:rFonts w:hint="eastAsia" w:ascii="楷体" w:hAnsi="楷体" w:eastAsia="楷体"/>
        </w:rPr>
        <w:t>图</w:t>
      </w:r>
      <w:r>
        <w:rPr>
          <w:rFonts w:ascii="楷体" w:hAnsi="楷体" w:eastAsia="楷体"/>
        </w:rPr>
        <w:t>8</w:t>
      </w:r>
      <w:r>
        <w:rPr>
          <w:rFonts w:hint="eastAsia" w:ascii="楷体" w:hAnsi="楷体" w:eastAsia="楷体"/>
        </w:rPr>
        <w:t xml:space="preserve"> 学习活动包含的要素</w:t>
      </w:r>
    </w:p>
    <w:p w14:paraId="73448890">
      <w:pPr>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3年研究下来，课题组已经编制出了沪教版义务教育化学课程</w:t>
      </w:r>
      <w:r>
        <w:rPr>
          <w:rFonts w:hint="eastAsia" w:asciiTheme="minorEastAsia" w:hAnsiTheme="minorEastAsia" w:cstheme="minorEastAsia"/>
          <w:lang w:val="en-US" w:eastAsia="zh-CN"/>
        </w:rPr>
        <w:t>教科书</w:t>
      </w:r>
      <w:r>
        <w:rPr>
          <w:rFonts w:hint="eastAsia" w:asciiTheme="minorEastAsia" w:hAnsiTheme="minorEastAsia" w:eastAsiaTheme="minorEastAsia" w:cstheme="minorEastAsia"/>
          <w:lang w:val="en-US" w:eastAsia="zh-CN"/>
        </w:rPr>
        <w:t>7个单元教学的实施纲要</w:t>
      </w:r>
      <w:r>
        <w:rPr>
          <w:rFonts w:hint="eastAsia" w:asciiTheme="minorEastAsia" w:hAnsiTheme="minorEastAsia" w:cstheme="minorEastAsia"/>
          <w:lang w:val="en-US" w:eastAsia="zh-CN"/>
        </w:rPr>
        <w:t>（见附件1）。</w:t>
      </w:r>
    </w:p>
    <w:p w14:paraId="27958FFC">
      <w:pPr>
        <w:ind w:firstLine="420" w:firstLineChars="200"/>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确定</w:t>
      </w:r>
      <w:r>
        <w:rPr>
          <w:rFonts w:hint="eastAsia" w:asciiTheme="minorEastAsia" w:hAnsiTheme="minorEastAsia" w:eastAsiaTheme="minorEastAsia" w:cstheme="minorEastAsia"/>
          <w:b/>
          <w:bCs/>
          <w:sz w:val="21"/>
          <w:szCs w:val="21"/>
        </w:rPr>
        <w:t>单元教学设计模型</w:t>
      </w:r>
      <w:r>
        <w:rPr>
          <w:rFonts w:hint="eastAsia" w:asciiTheme="minorEastAsia" w:hAnsiTheme="minorEastAsia" w:eastAsiaTheme="minorEastAsia" w:cstheme="minorEastAsia"/>
          <w:b/>
          <w:bCs/>
          <w:sz w:val="21"/>
          <w:szCs w:val="21"/>
          <w:lang w:val="en-US" w:eastAsia="zh-CN"/>
        </w:rPr>
        <w:t>:</w:t>
      </w:r>
    </w:p>
    <w:p w14:paraId="55393A06">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单元教学是以一定主题的教学内容为基本单元，经过教师整体性、计划性和系统性的设计后形成的结构化、逻辑化的教学设计与实施。</w:t>
      </w:r>
      <w:r>
        <w:rPr>
          <w:rFonts w:hint="eastAsia" w:asciiTheme="minorEastAsia" w:hAnsiTheme="minorEastAsia" w:eastAsiaTheme="minorEastAsia" w:cstheme="minorEastAsia"/>
          <w:sz w:val="21"/>
          <w:szCs w:val="21"/>
          <w:lang w:val="en-US" w:eastAsia="zh-CN"/>
        </w:rPr>
        <w:t>进行</w:t>
      </w:r>
      <w:r>
        <w:rPr>
          <w:rFonts w:hint="eastAsia" w:asciiTheme="minorEastAsia" w:hAnsiTheme="minorEastAsia" w:eastAsiaTheme="minorEastAsia" w:cstheme="minorEastAsia"/>
          <w:sz w:val="21"/>
          <w:szCs w:val="21"/>
        </w:rPr>
        <w:t>单元教学设计要注意：一是</w:t>
      </w:r>
      <w:r>
        <w:rPr>
          <w:rFonts w:hint="eastAsia" w:asciiTheme="minorEastAsia" w:hAnsiTheme="minorEastAsia" w:eastAsiaTheme="minorEastAsia" w:cstheme="minorEastAsia"/>
          <w:sz w:val="21"/>
          <w:szCs w:val="21"/>
          <w:lang w:val="en-US" w:eastAsia="zh-CN"/>
        </w:rPr>
        <w:t>抽提单元</w:t>
      </w:r>
      <w:r>
        <w:rPr>
          <w:rFonts w:hint="eastAsia" w:asciiTheme="minorEastAsia" w:hAnsiTheme="minorEastAsia" w:eastAsiaTheme="minorEastAsia" w:cstheme="minorEastAsia"/>
          <w:sz w:val="21"/>
          <w:szCs w:val="21"/>
        </w:rPr>
        <w:t>大概念，</w:t>
      </w:r>
      <w:r>
        <w:rPr>
          <w:rFonts w:hint="eastAsia" w:asciiTheme="minorEastAsia" w:hAnsiTheme="minorEastAsia" w:eastAsiaTheme="minorEastAsia" w:cstheme="minorEastAsia"/>
          <w:sz w:val="21"/>
          <w:szCs w:val="21"/>
          <w:lang w:val="en-US" w:eastAsia="zh-CN"/>
        </w:rPr>
        <w:t>并</w:t>
      </w:r>
      <w:r>
        <w:rPr>
          <w:rFonts w:hint="eastAsia" w:asciiTheme="minorEastAsia" w:hAnsiTheme="minorEastAsia" w:eastAsiaTheme="minorEastAsia" w:cstheme="minorEastAsia"/>
          <w:sz w:val="21"/>
          <w:szCs w:val="21"/>
        </w:rPr>
        <w:t>依托于真实情境</w:t>
      </w:r>
      <w:r>
        <w:rPr>
          <w:rFonts w:hint="eastAsia" w:asciiTheme="minorEastAsia" w:hAnsiTheme="minorEastAsia" w:eastAsiaTheme="minorEastAsia" w:cstheme="minorEastAsia"/>
          <w:sz w:val="21"/>
          <w:szCs w:val="21"/>
          <w:lang w:val="en-US" w:eastAsia="zh-CN"/>
        </w:rPr>
        <w:t>进行</w:t>
      </w:r>
      <w:r>
        <w:rPr>
          <w:rFonts w:hint="eastAsia" w:asciiTheme="minorEastAsia" w:hAnsiTheme="minorEastAsia" w:eastAsiaTheme="minorEastAsia" w:cstheme="minorEastAsia"/>
          <w:sz w:val="21"/>
          <w:szCs w:val="21"/>
        </w:rPr>
        <w:t>任务化教学设计；二是从该单元所包含的化学问题导入，为学生提供脚手架建立知识关联；三是从研究化学问题的认识思路出发，帮助学生形成正确且完整的学科思维；四是考虑“教-学-评”一致性。基于以上考虑，在</w:t>
      </w:r>
      <w:r>
        <w:rPr>
          <w:rFonts w:hint="eastAsia" w:asciiTheme="minorEastAsia" w:hAnsiTheme="minorEastAsia" w:eastAsiaTheme="minorEastAsia" w:cstheme="minorEastAsia"/>
          <w:sz w:val="21"/>
          <w:szCs w:val="21"/>
          <w:lang w:val="en-US" w:eastAsia="zh-CN"/>
        </w:rPr>
        <w:t>前期研究</w:t>
      </w:r>
      <w:r>
        <w:rPr>
          <w:rFonts w:hint="eastAsia" w:asciiTheme="minorEastAsia" w:hAnsiTheme="minorEastAsia" w:eastAsiaTheme="minorEastAsia" w:cstheme="minorEastAsia"/>
          <w:sz w:val="21"/>
          <w:szCs w:val="21"/>
        </w:rPr>
        <w:t>实践中形成的单元教学设计模型</w:t>
      </w:r>
      <w:r>
        <w:rPr>
          <w:rFonts w:hint="eastAsia" w:asciiTheme="minorEastAsia" w:hAnsiTheme="minorEastAsia" w:eastAsiaTheme="minorEastAsia" w:cstheme="minorEastAsia"/>
          <w:sz w:val="21"/>
          <w:szCs w:val="21"/>
          <w:lang w:val="en-US" w:eastAsia="zh-CN"/>
        </w:rPr>
        <w:t>如图</w:t>
      </w:r>
      <w:r>
        <w:rPr>
          <w:rFonts w:hint="eastAsia" w:asciiTheme="minorEastAsia" w:hAnsiTheme="minorEastAsia" w:cstheme="minorEastAsia"/>
          <w:sz w:val="21"/>
          <w:szCs w:val="21"/>
          <w:lang w:val="en-US" w:eastAsia="zh-CN"/>
        </w:rPr>
        <w:t>9</w:t>
      </w:r>
      <w:r>
        <w:rPr>
          <w:rFonts w:hint="eastAsia" w:asciiTheme="minorEastAsia" w:hAnsiTheme="minorEastAsia" w:eastAsiaTheme="minorEastAsia" w:cstheme="minorEastAsia"/>
          <w:sz w:val="21"/>
          <w:szCs w:val="21"/>
          <w:lang w:val="en-US" w:eastAsia="zh-CN"/>
        </w:rPr>
        <w:t>。</w:t>
      </w:r>
    </w:p>
    <w:p w14:paraId="1EFA5455">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563745" cy="3478530"/>
            <wp:effectExtent l="0" t="0" r="8255" b="762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14"/>
                    <a:stretch>
                      <a:fillRect/>
                    </a:stretch>
                  </pic:blipFill>
                  <pic:spPr>
                    <a:xfrm>
                      <a:off x="0" y="0"/>
                      <a:ext cx="4563745" cy="3478530"/>
                    </a:xfrm>
                    <a:prstGeom prst="rect">
                      <a:avLst/>
                    </a:prstGeom>
                    <a:noFill/>
                    <a:ln>
                      <a:noFill/>
                    </a:ln>
                  </pic:spPr>
                </pic:pic>
              </a:graphicData>
            </a:graphic>
          </wp:inline>
        </w:drawing>
      </w:r>
    </w:p>
    <w:p w14:paraId="5B2543BD">
      <w:pPr>
        <w:jc w:val="center"/>
        <w:rPr>
          <w:rFonts w:hint="eastAsia" w:ascii="楷体" w:hAnsi="楷体" w:eastAsia="楷体" w:cs="楷体"/>
          <w:sz w:val="21"/>
          <w:szCs w:val="21"/>
        </w:rPr>
      </w:pPr>
      <w:r>
        <w:rPr>
          <w:rFonts w:hint="eastAsia" w:ascii="楷体" w:hAnsi="楷体" w:eastAsia="楷体" w:cs="楷体"/>
          <w:sz w:val="21"/>
          <w:szCs w:val="21"/>
        </w:rPr>
        <w:t>图</w:t>
      </w:r>
      <w:r>
        <w:rPr>
          <w:rFonts w:hint="eastAsia" w:ascii="楷体" w:hAnsi="楷体" w:eastAsia="楷体" w:cs="楷体"/>
          <w:sz w:val="21"/>
          <w:szCs w:val="21"/>
          <w:lang w:val="en-US" w:eastAsia="zh-CN"/>
        </w:rPr>
        <w:t>9 学科核心素养导向</w:t>
      </w:r>
      <w:r>
        <w:rPr>
          <w:rFonts w:hint="eastAsia" w:ascii="楷体" w:hAnsi="楷体" w:eastAsia="楷体" w:cs="楷体"/>
          <w:sz w:val="21"/>
          <w:szCs w:val="21"/>
        </w:rPr>
        <w:t>下的单元教学设计模型</w:t>
      </w:r>
    </w:p>
    <w:p w14:paraId="37322107">
      <w:pPr>
        <w:jc w:val="both"/>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Theme="minorEastAsia" w:hAnsiTheme="minorEastAsia" w:eastAsiaTheme="minorEastAsia" w:cstheme="minorEastAsia"/>
          <w:lang w:val="en-US" w:eastAsia="zh-CN"/>
        </w:rPr>
        <w:t>3年研究下来，课题组</w:t>
      </w:r>
      <w:r>
        <w:rPr>
          <w:rFonts w:hint="eastAsia" w:asciiTheme="minorEastAsia" w:hAnsiTheme="minorEastAsia" w:cstheme="minorEastAsia"/>
          <w:lang w:val="en-US" w:eastAsia="zh-CN"/>
        </w:rPr>
        <w:t>对新课标的“化学与社会·跨学科实践”、“物质的性质与应用”两个学习主题的大概念统摄内容进行了深度剖析（见附件2），有利于指导日常的单元复习课教学设计。</w:t>
      </w:r>
    </w:p>
    <w:p w14:paraId="29116DDA">
      <w:pPr>
        <w:ind w:firstLine="42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(3)</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探索单元课堂教学范式</w:t>
      </w:r>
    </w:p>
    <w:p w14:paraId="48F5E990">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单元教学是在单元整体目标指引下规划和设计单元内每一课时的教学，课时之间有紧密且严谨的逻辑关系，每一课时都为单元教学目标而服务。</w:t>
      </w:r>
    </w:p>
    <w:p w14:paraId="5762A15A">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color w:val="000000"/>
          <w:sz w:val="21"/>
          <w:szCs w:val="21"/>
          <w:lang w:eastAsia="zh-CN"/>
        </w:rPr>
        <w:t>①</w:t>
      </w:r>
      <w:r>
        <w:rPr>
          <w:rFonts w:hint="eastAsia" w:asciiTheme="minorEastAsia" w:hAnsiTheme="minorEastAsia" w:eastAsiaTheme="minorEastAsia" w:cstheme="minorEastAsia"/>
          <w:sz w:val="21"/>
          <w:szCs w:val="21"/>
          <w:lang w:val="en-US" w:eastAsia="zh-CN"/>
        </w:rPr>
        <w:t>新授课</w:t>
      </w:r>
      <w:r>
        <w:rPr>
          <w:rFonts w:hint="eastAsia" w:asciiTheme="minorEastAsia" w:hAnsiTheme="minorEastAsia" w:eastAsiaTheme="minorEastAsia" w:cstheme="minorEastAsia"/>
          <w:color w:val="000000" w:themeColor="text1"/>
          <w:sz w:val="21"/>
          <w:szCs w:val="21"/>
          <w14:textFill>
            <w14:solidFill>
              <w14:schemeClr w14:val="tx1"/>
            </w14:solidFill>
          </w14:textFill>
        </w:rPr>
        <w:t>单元</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自然单元</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课堂教学范式</w:t>
      </w:r>
    </w:p>
    <w:p w14:paraId="5B9732EE">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在</w:t>
      </w:r>
      <w:r>
        <w:rPr>
          <w:rFonts w:hint="eastAsia" w:asciiTheme="minorEastAsia" w:hAnsiTheme="minorEastAsia" w:eastAsiaTheme="minorEastAsia" w:cstheme="minorEastAsia"/>
          <w:sz w:val="21"/>
          <w:szCs w:val="21"/>
          <w:lang w:val="en-US" w:eastAsia="zh-CN"/>
        </w:rPr>
        <w:t>前期</w:t>
      </w:r>
      <w:r>
        <w:rPr>
          <w:rFonts w:hint="eastAsia" w:asciiTheme="minorEastAsia" w:hAnsiTheme="minorEastAsia" w:eastAsiaTheme="minorEastAsia" w:cstheme="minorEastAsia"/>
          <w:sz w:val="21"/>
          <w:szCs w:val="21"/>
        </w:rPr>
        <w:t>研究中，</w:t>
      </w:r>
      <w:r>
        <w:rPr>
          <w:rFonts w:hint="eastAsia" w:asciiTheme="minorEastAsia" w:hAnsiTheme="minorEastAsia" w:eastAsiaTheme="minorEastAsia" w:cstheme="minorEastAsia"/>
          <w:sz w:val="21"/>
          <w:szCs w:val="21"/>
          <w:lang w:val="en-US" w:eastAsia="zh-CN"/>
        </w:rPr>
        <w:t>针对新授课，</w:t>
      </w:r>
      <w:r>
        <w:rPr>
          <w:rFonts w:hint="eastAsia" w:asciiTheme="minorEastAsia" w:hAnsiTheme="minorEastAsia" w:eastAsiaTheme="minorEastAsia" w:cstheme="minorEastAsia"/>
          <w:sz w:val="21"/>
          <w:szCs w:val="21"/>
        </w:rPr>
        <w:t>初步探索形成</w:t>
      </w:r>
      <w:r>
        <w:rPr>
          <w:rFonts w:hint="eastAsia" w:asciiTheme="minorEastAsia" w:hAnsiTheme="minorEastAsia" w:eastAsiaTheme="minorEastAsia" w:cstheme="minorEastAsia"/>
          <w:sz w:val="21"/>
          <w:szCs w:val="21"/>
          <w:lang w:val="en-US" w:eastAsia="zh-CN"/>
        </w:rPr>
        <w:t>了</w:t>
      </w:r>
      <w:r>
        <w:rPr>
          <w:rFonts w:hint="eastAsia" w:asciiTheme="minorEastAsia" w:hAnsiTheme="minorEastAsia" w:eastAsiaTheme="minorEastAsia" w:cstheme="minorEastAsia"/>
          <w:sz w:val="21"/>
          <w:szCs w:val="21"/>
        </w:rPr>
        <w:t>一条达成“教-学-评”一致性要求与落实核心素养的课堂教学新路径。</w:t>
      </w:r>
      <w:r>
        <w:rPr>
          <w:rFonts w:hint="eastAsia" w:asciiTheme="minorEastAsia" w:hAnsiTheme="minorEastAsia" w:eastAsiaTheme="minorEastAsia" w:cstheme="minorEastAsia"/>
          <w:sz w:val="21"/>
          <w:szCs w:val="21"/>
          <w:lang w:val="en-US" w:eastAsia="zh-CN"/>
        </w:rPr>
        <w:t>具体路径如下：</w:t>
      </w:r>
    </w:p>
    <w:p w14:paraId="5F9969BD">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5408" behindDoc="0" locked="0" layoutInCell="1" allowOverlap="1">
                <wp:simplePos x="0" y="0"/>
                <wp:positionH relativeFrom="column">
                  <wp:posOffset>-2996565</wp:posOffset>
                </wp:positionH>
                <wp:positionV relativeFrom="paragraph">
                  <wp:posOffset>529590</wp:posOffset>
                </wp:positionV>
                <wp:extent cx="344170" cy="0"/>
                <wp:effectExtent l="0" t="38100" r="17780" b="38100"/>
                <wp:wrapNone/>
                <wp:docPr id="720511453" name="直线箭头连接符 12"/>
                <wp:cNvGraphicFramePr/>
                <a:graphic xmlns:a="http://schemas.openxmlformats.org/drawingml/2006/main">
                  <a:graphicData uri="http://schemas.microsoft.com/office/word/2010/wordprocessingShape">
                    <wps:wsp>
                      <wps:cNvCnPr/>
                      <wps:spPr>
                        <a:xfrm>
                          <a:off x="0" y="0"/>
                          <a:ext cx="344170" cy="0"/>
                        </a:xfrm>
                        <a:prstGeom prst="straightConnector1">
                          <a:avLst/>
                        </a:prstGeom>
                        <a:ln w="12700">
                          <a:prstDash val="sysDot"/>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线箭头连接符 12" o:spid="_x0000_s1026" o:spt="32" type="#_x0000_t32" style="position:absolute;left:0pt;margin-left:-235.95pt;margin-top:41.7pt;height:0pt;width:27.1pt;z-index:251665408;mso-width-relative:page;mso-height-relative:page;" filled="f" stroked="t" coordsize="21600,21600" o:gfxdata="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gN1W9kAAAALAQAA&#10;DwAAAAAAAAABACAAAAAiAAAAZHJzL2Rvd25yZXYueG1sUEsBAhQAFAAAAAgAh07iQDaIfAEYAgAA&#10;6wMAAA4AAAAAAAAAAQAgAAAAKAEAAGRycy9lMm9Eb2MueG1sUEsFBgAAAAAGAAYAWQEAALIFAAAA&#10;AA==&#10;">
                <v:fill on="f" focussize="0,0"/>
                <v:stroke weight="1pt" color="#ED7D31 [3205]" miterlimit="8" joinstyle="miter" dashstyle="1 1" endarrow="block"/>
                <v:imagedata o:title=""/>
                <o:lock v:ext="edit" aspectratio="f"/>
              </v:shape>
            </w:pict>
          </mc:Fallback>
        </mc:AlternateContent>
      </w:r>
      <w:r>
        <w:rPr>
          <w:rFonts w:hint="eastAsia" w:asciiTheme="minorEastAsia" w:hAnsiTheme="minorEastAsia" w:eastAsiaTheme="minorEastAsia" w:cstheme="minorEastAsia"/>
          <w:sz w:val="21"/>
          <w:szCs w:val="21"/>
        </w:rPr>
        <w:t>在单元教学的开篇进行“导引式”大概念建构课，初步建构相关大概念，突出大概念的观念建构功能。进行导引式大概念建构课前，一定要理清学生的学习起点从而设计好教学起点，只有厘清学生该从哪里出发，那后续终点目标、教学设计、素养培育等才有真实意义。</w:t>
      </w:r>
    </w:p>
    <w:p w14:paraId="0F8B94A6">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中间单元分课时教学时统筹知识、情境、问题、活动、评价</w:t>
      </w:r>
      <w:r>
        <w:rPr>
          <w:rFonts w:hint="eastAsia" w:asciiTheme="minorEastAsia" w:hAnsiTheme="minorEastAsia" w:eastAsiaTheme="minorEastAsia" w:cstheme="minorEastAsia"/>
          <w:sz w:val="21"/>
          <w:szCs w:val="21"/>
          <w:lang w:val="en-US" w:eastAsia="zh-CN"/>
        </w:rPr>
        <w:t>五线</w:t>
      </w:r>
      <w:r>
        <w:rPr>
          <w:rFonts w:hint="eastAsia" w:asciiTheme="minorEastAsia" w:hAnsiTheme="minorEastAsia" w:eastAsiaTheme="minorEastAsia" w:cstheme="minorEastAsia"/>
          <w:sz w:val="21"/>
          <w:szCs w:val="21"/>
        </w:rPr>
        <w:t>要素，通过对</w:t>
      </w:r>
      <w:r>
        <w:rPr>
          <w:rFonts w:hint="eastAsia" w:asciiTheme="minorEastAsia" w:hAnsiTheme="minorEastAsia" w:eastAsiaTheme="minorEastAsia" w:cstheme="minorEastAsia"/>
          <w:sz w:val="21"/>
          <w:szCs w:val="21"/>
          <w:lang w:val="en-US" w:eastAsia="zh-CN"/>
        </w:rPr>
        <w:t>各线</w:t>
      </w:r>
      <w:r>
        <w:rPr>
          <w:rFonts w:hint="eastAsia" w:asciiTheme="minorEastAsia" w:hAnsiTheme="minorEastAsia" w:eastAsiaTheme="minorEastAsia" w:cstheme="minorEastAsia"/>
          <w:sz w:val="21"/>
          <w:szCs w:val="21"/>
        </w:rPr>
        <w:t>的逻辑整合，帮助学生把握表层知识背后所蕴含的学科本质与关键。真实的情境使单元教学真正成为核心素养形成与发展的基本单位；有逻辑的问题结构连接了情境中的事件与具体的学习任务与活动，体现了知识建构的历程与思路；通过实时的评价反馈判断学生是否达成目标以及目标达成的程，从而实时地对教学过程做出有利于学生学习的调整，从而实现“教-学-评”一体化。</w:t>
      </w:r>
    </w:p>
    <w:p w14:paraId="20FD4D7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在单元教学的结尾进行“提升式”大概念建构课，引导学生梳理和总结相关知识，提升学生对大概念的认识，强调大概念的结构化功能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发展学生的核心素养</w:t>
      </w:r>
      <w:r>
        <w:rPr>
          <w:rFonts w:hint="eastAsia" w:asciiTheme="minorEastAsia" w:hAnsiTheme="minorEastAsia" w:eastAsiaTheme="minorEastAsia" w:cstheme="minorEastAsia"/>
          <w:sz w:val="21"/>
          <w:szCs w:val="21"/>
        </w:rPr>
        <w:t>。</w:t>
      </w:r>
    </w:p>
    <w:p w14:paraId="5CB176FD">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每个自然</w:t>
      </w:r>
      <w:r>
        <w:rPr>
          <w:rFonts w:hint="eastAsia" w:asciiTheme="minorEastAsia" w:hAnsiTheme="minorEastAsia" w:eastAsiaTheme="minorEastAsia" w:cstheme="minorEastAsia"/>
          <w:sz w:val="21"/>
          <w:szCs w:val="21"/>
        </w:rPr>
        <w:t>单元教学形成</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基于大概念的“总-分-总”的范式见图</w:t>
      </w:r>
      <w:r>
        <w:rPr>
          <w:rFonts w:hint="eastAsia" w:asciiTheme="minorEastAsia" w:hAnsiTheme="minorEastAsia" w:cstheme="minorEastAsia"/>
          <w:sz w:val="21"/>
          <w:szCs w:val="21"/>
          <w:lang w:val="en-US" w:eastAsia="zh-CN"/>
        </w:rPr>
        <w:t>10</w:t>
      </w:r>
      <w:r>
        <w:rPr>
          <w:rFonts w:hint="eastAsia" w:asciiTheme="minorEastAsia" w:hAnsiTheme="minorEastAsia" w:eastAsiaTheme="minorEastAsia" w:cstheme="minorEastAsia"/>
          <w:sz w:val="21"/>
          <w:szCs w:val="21"/>
          <w:lang w:eastAsia="zh-CN"/>
        </w:rPr>
        <w:t>。</w:t>
      </w:r>
    </w:p>
    <w:p w14:paraId="13A334AB">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3156585" cy="1585595"/>
            <wp:effectExtent l="0" t="0" r="5715" b="14605"/>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15"/>
                    <a:stretch>
                      <a:fillRect/>
                    </a:stretch>
                  </pic:blipFill>
                  <pic:spPr>
                    <a:xfrm>
                      <a:off x="0" y="0"/>
                      <a:ext cx="3156585" cy="1585595"/>
                    </a:xfrm>
                    <a:prstGeom prst="rect">
                      <a:avLst/>
                    </a:prstGeom>
                    <a:noFill/>
                    <a:ln>
                      <a:noFill/>
                    </a:ln>
                  </pic:spPr>
                </pic:pic>
              </a:graphicData>
            </a:graphic>
          </wp:inline>
        </w:drawing>
      </w:r>
    </w:p>
    <w:p w14:paraId="2E18B917">
      <w:pPr>
        <w:jc w:val="center"/>
        <w:rPr>
          <w:rFonts w:hint="eastAsia" w:ascii="楷体" w:hAnsi="楷体" w:eastAsia="楷体" w:cs="楷体"/>
          <w:sz w:val="21"/>
          <w:szCs w:val="21"/>
        </w:rPr>
      </w:pPr>
      <w:r>
        <w:rPr>
          <w:rFonts w:hint="eastAsia" w:ascii="楷体" w:hAnsi="楷体" w:eastAsia="楷体" w:cs="楷体"/>
          <w:sz w:val="21"/>
          <w:szCs w:val="21"/>
        </w:rPr>
        <w:t>图</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学科核心素养导向</w:t>
      </w:r>
      <w:r>
        <w:rPr>
          <w:rFonts w:hint="eastAsia" w:ascii="楷体" w:hAnsi="楷体" w:eastAsia="楷体" w:cs="楷体"/>
          <w:sz w:val="21"/>
          <w:szCs w:val="21"/>
        </w:rPr>
        <w:t>下的</w:t>
      </w:r>
      <w:r>
        <w:rPr>
          <w:rFonts w:hint="eastAsia" w:ascii="楷体" w:hAnsi="楷体" w:eastAsia="楷体" w:cs="楷体"/>
          <w:sz w:val="21"/>
          <w:szCs w:val="21"/>
          <w:lang w:val="en-US" w:eastAsia="zh-CN"/>
        </w:rPr>
        <w:t>新授课</w:t>
      </w:r>
      <w:r>
        <w:rPr>
          <w:rFonts w:hint="eastAsia" w:ascii="楷体" w:hAnsi="楷体" w:eastAsia="楷体" w:cs="楷体"/>
          <w:sz w:val="21"/>
          <w:szCs w:val="21"/>
        </w:rPr>
        <w:t>单元</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自然单元</w:t>
      </w:r>
      <w:r>
        <w:rPr>
          <w:rFonts w:hint="eastAsia" w:ascii="楷体" w:hAnsi="楷体" w:eastAsia="楷体" w:cs="楷体"/>
          <w:sz w:val="21"/>
          <w:szCs w:val="21"/>
          <w:lang w:eastAsia="zh-CN"/>
        </w:rPr>
        <w:t>）</w:t>
      </w:r>
      <w:r>
        <w:rPr>
          <w:rFonts w:hint="eastAsia" w:ascii="楷体" w:hAnsi="楷体" w:eastAsia="楷体" w:cs="楷体"/>
          <w:sz w:val="21"/>
          <w:szCs w:val="21"/>
        </w:rPr>
        <w:t>课堂教学范式</w:t>
      </w:r>
    </w:p>
    <w:p w14:paraId="3D484740">
      <w:pPr>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sz w:val="21"/>
          <w:szCs w:val="21"/>
          <w:lang w:eastAsia="zh-CN"/>
        </w:rPr>
        <w:t>②</w:t>
      </w:r>
      <w:r>
        <w:rPr>
          <w:rFonts w:hint="eastAsia" w:asciiTheme="minorEastAsia" w:hAnsiTheme="minorEastAsia" w:eastAsiaTheme="minorEastAsia" w:cstheme="minorEastAsia"/>
          <w:sz w:val="21"/>
          <w:szCs w:val="21"/>
          <w:lang w:val="en-US" w:eastAsia="zh-CN"/>
        </w:rPr>
        <w:t>复习课</w:t>
      </w:r>
      <w:r>
        <w:rPr>
          <w:rFonts w:hint="eastAsia" w:asciiTheme="minorEastAsia" w:hAnsiTheme="minorEastAsia" w:eastAsiaTheme="minorEastAsia" w:cstheme="minorEastAsia"/>
          <w:color w:val="000000" w:themeColor="text1"/>
          <w:sz w:val="21"/>
          <w:szCs w:val="21"/>
          <w14:textFill>
            <w14:solidFill>
              <w14:schemeClr w14:val="tx1"/>
            </w14:solidFill>
          </w14:textFill>
        </w:rPr>
        <w:t>单元课堂教学范式</w:t>
      </w:r>
    </w:p>
    <w:p w14:paraId="65C76674">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内容组织的视角不同单元教学的类型就不同。</w:t>
      </w:r>
      <w:r>
        <w:rPr>
          <w:rFonts w:hint="eastAsia" w:asciiTheme="minorEastAsia" w:hAnsiTheme="minorEastAsia" w:eastAsiaTheme="minorEastAsia" w:cstheme="minorEastAsia"/>
          <w:sz w:val="21"/>
          <w:szCs w:val="21"/>
        </w:rPr>
        <w:t>单元教学内容可以按学科逻辑和学习逻辑来组织。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见图</w:t>
      </w:r>
      <w:r>
        <w:rPr>
          <w:rFonts w:hint="eastAsia" w:asciiTheme="minorEastAsia" w:hAnsiTheme="minorEastAsia" w:cstheme="minorEastAsia"/>
          <w:sz w:val="21"/>
          <w:szCs w:val="21"/>
          <w:lang w:val="en-US" w:eastAsia="zh-CN"/>
        </w:rPr>
        <w:t>11</w:t>
      </w:r>
      <w:r>
        <w:rPr>
          <w:rFonts w:hint="eastAsia" w:asciiTheme="minorEastAsia" w:hAnsiTheme="minorEastAsia" w:eastAsiaTheme="minorEastAsia" w:cstheme="minorEastAsia"/>
          <w:sz w:val="21"/>
          <w:szCs w:val="21"/>
          <w:lang w:eastAsia="zh-CN"/>
        </w:rPr>
        <w:t>）</w:t>
      </w:r>
    </w:p>
    <w:p w14:paraId="778F45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3681730" cy="1496695"/>
            <wp:effectExtent l="0" t="0" r="13970" b="8255"/>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pic:cNvPicPr>
                  </pic:nvPicPr>
                  <pic:blipFill>
                    <a:blip r:embed="rId16"/>
                    <a:stretch>
                      <a:fillRect/>
                    </a:stretch>
                  </pic:blipFill>
                  <pic:spPr>
                    <a:xfrm>
                      <a:off x="0" y="0"/>
                      <a:ext cx="3681730" cy="1496695"/>
                    </a:xfrm>
                    <a:prstGeom prst="rect">
                      <a:avLst/>
                    </a:prstGeom>
                    <a:noFill/>
                    <a:ln>
                      <a:noFill/>
                    </a:ln>
                  </pic:spPr>
                </pic:pic>
              </a:graphicData>
            </a:graphic>
          </wp:inline>
        </w:drawing>
      </w:r>
    </w:p>
    <w:p w14:paraId="7116AD67">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sz w:val="21"/>
          <w:szCs w:val="21"/>
          <w:lang w:val="en-US" w:eastAsia="zh-CN"/>
        </w:rPr>
        <w:t>图11 单元教学类型分类</w:t>
      </w:r>
    </w:p>
    <w:p w14:paraId="6697B9B9">
      <w:pPr>
        <w:ind w:firstLine="420" w:firstLineChars="20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不同类型的单元复习课，其课堂教学范式也不尽相同。后续研究将力求通过课例实践总结学科逻辑单元和学习逻辑单元复习课的课堂教学范式。</w:t>
      </w:r>
    </w:p>
    <w:p w14:paraId="20FD52E9">
      <w:pPr>
        <w:ind w:firstLine="42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(4)创建</w:t>
      </w:r>
      <w:r>
        <w:rPr>
          <w:rFonts w:hint="eastAsia" w:asciiTheme="minorEastAsia" w:hAnsiTheme="minorEastAsia" w:eastAsiaTheme="minorEastAsia" w:cstheme="minorEastAsia"/>
          <w:b/>
          <w:bCs/>
          <w:sz w:val="21"/>
          <w:szCs w:val="21"/>
        </w:rPr>
        <w:t>单元教学评价方式</w:t>
      </w:r>
    </w:p>
    <w:p w14:paraId="0E720264">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单元教学的评价是为了测量学生是否达到了预期的教学效果，应立足于单元教学目标，特别关注大概念的理解水平，有针对性地采用思维结构评价和表现性评价。</w:t>
      </w:r>
    </w:p>
    <w:p w14:paraId="75C46B7B">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思维结构评价关注学习过程中学生思维的结构化发展。在评价设计时，基于SOLO分类理论将学生的思维状况划分为五种不同结构，由低级到高级分别为：无结构、单点结构、多点结构、关联结构、拓展抽象结构。围绕学生对单元基本问题的回答展开，依据答案中蕴含的学科知识、技能、方法等要素的数量和关系将其划分成不同水平的层次及评价标准，以此评价学生思维的结构化程度。思维结构评价表见表</w:t>
      </w:r>
      <w:r>
        <w:rPr>
          <w:rFonts w:hint="eastAsia" w:asciiTheme="minorEastAsia" w:hAnsiTheme="minorEastAsia" w:cstheme="minorEastAsia"/>
          <w:sz w:val="21"/>
          <w:szCs w:val="21"/>
          <w:lang w:val="en-US" w:eastAsia="zh-CN"/>
        </w:rPr>
        <w:t>1</w:t>
      </w:r>
      <w:r>
        <w:rPr>
          <w:rFonts w:hint="eastAsia" w:asciiTheme="minorEastAsia" w:hAnsiTheme="minorEastAsia" w:eastAsiaTheme="minorEastAsia" w:cstheme="minorEastAsia"/>
          <w:sz w:val="21"/>
          <w:szCs w:val="21"/>
        </w:rPr>
        <w:t>。</w:t>
      </w:r>
    </w:p>
    <w:p w14:paraId="6A9C448D">
      <w:pPr>
        <w:jc w:val="center"/>
        <w:rPr>
          <w:rFonts w:hint="eastAsia" w:ascii="楷体" w:hAnsi="楷体" w:eastAsia="楷体" w:cs="楷体"/>
          <w:sz w:val="21"/>
          <w:szCs w:val="21"/>
        </w:rPr>
      </w:pPr>
      <w:r>
        <w:rPr>
          <w:rFonts w:hint="eastAsia" w:ascii="楷体" w:hAnsi="楷体" w:eastAsia="楷体" w:cs="楷体"/>
          <w:sz w:val="21"/>
          <w:szCs w:val="21"/>
          <w:lang w:val="en-US" w:eastAsia="zh-CN"/>
        </w:rPr>
        <w:t>表1 学科核心素养导向下</w:t>
      </w:r>
      <w:r>
        <w:rPr>
          <w:rFonts w:hint="eastAsia" w:ascii="楷体" w:hAnsi="楷体" w:eastAsia="楷体" w:cs="楷体"/>
          <w:sz w:val="21"/>
          <w:szCs w:val="21"/>
        </w:rPr>
        <w:t>的初中化学单元教学思维结构评价表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737"/>
        <w:gridCol w:w="1336"/>
        <w:gridCol w:w="2484"/>
        <w:gridCol w:w="1173"/>
        <w:gridCol w:w="1129"/>
      </w:tblGrid>
      <w:tr w14:paraId="421A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14:paraId="5D22F076">
            <w:pPr>
              <w:jc w:val="center"/>
              <w:rPr>
                <w:rFonts w:hint="eastAsia" w:ascii="楷体" w:hAnsi="楷体" w:eastAsia="楷体" w:cs="楷体"/>
                <w:b/>
                <w:bCs/>
                <w:sz w:val="21"/>
                <w:szCs w:val="21"/>
              </w:rPr>
            </w:pPr>
            <w:r>
              <w:rPr>
                <w:rFonts w:hint="eastAsia" w:ascii="楷体" w:hAnsi="楷体" w:eastAsia="楷体" w:cs="楷体"/>
                <w:b/>
                <w:bCs/>
                <w:sz w:val="21"/>
                <w:szCs w:val="21"/>
              </w:rPr>
              <w:t>姓名</w:t>
            </w:r>
          </w:p>
        </w:tc>
        <w:tc>
          <w:tcPr>
            <w:tcW w:w="737" w:type="dxa"/>
          </w:tcPr>
          <w:p w14:paraId="29B64369">
            <w:pPr>
              <w:jc w:val="center"/>
              <w:rPr>
                <w:rFonts w:hint="eastAsia" w:ascii="楷体" w:hAnsi="楷体" w:eastAsia="楷体" w:cs="楷体"/>
                <w:b/>
                <w:bCs/>
                <w:sz w:val="21"/>
                <w:szCs w:val="21"/>
              </w:rPr>
            </w:pPr>
          </w:p>
        </w:tc>
        <w:tc>
          <w:tcPr>
            <w:tcW w:w="1336" w:type="dxa"/>
          </w:tcPr>
          <w:p w14:paraId="7CF9E296">
            <w:pPr>
              <w:jc w:val="center"/>
              <w:rPr>
                <w:rFonts w:hint="eastAsia" w:ascii="楷体" w:hAnsi="楷体" w:eastAsia="楷体" w:cs="楷体"/>
                <w:b/>
                <w:bCs/>
                <w:sz w:val="21"/>
                <w:szCs w:val="21"/>
              </w:rPr>
            </w:pPr>
            <w:r>
              <w:rPr>
                <w:rFonts w:hint="eastAsia" w:ascii="楷体" w:hAnsi="楷体" w:eastAsia="楷体" w:cs="楷体"/>
                <w:b/>
                <w:bCs/>
                <w:sz w:val="21"/>
                <w:szCs w:val="21"/>
              </w:rPr>
              <w:t>学校</w:t>
            </w:r>
          </w:p>
        </w:tc>
        <w:tc>
          <w:tcPr>
            <w:tcW w:w="2484" w:type="dxa"/>
          </w:tcPr>
          <w:p w14:paraId="39B2BAD9">
            <w:pPr>
              <w:jc w:val="center"/>
              <w:rPr>
                <w:rFonts w:hint="eastAsia" w:ascii="楷体" w:hAnsi="楷体" w:eastAsia="楷体" w:cs="楷体"/>
                <w:b/>
                <w:bCs/>
                <w:sz w:val="21"/>
                <w:szCs w:val="21"/>
              </w:rPr>
            </w:pPr>
          </w:p>
        </w:tc>
        <w:tc>
          <w:tcPr>
            <w:tcW w:w="1173" w:type="dxa"/>
          </w:tcPr>
          <w:p w14:paraId="125D3321">
            <w:pPr>
              <w:jc w:val="center"/>
              <w:rPr>
                <w:rFonts w:hint="eastAsia" w:ascii="楷体" w:hAnsi="楷体" w:eastAsia="楷体" w:cs="楷体"/>
                <w:b/>
                <w:bCs/>
                <w:sz w:val="21"/>
                <w:szCs w:val="21"/>
              </w:rPr>
            </w:pPr>
            <w:r>
              <w:rPr>
                <w:rFonts w:hint="eastAsia" w:ascii="楷体" w:hAnsi="楷体" w:eastAsia="楷体" w:cs="楷体"/>
                <w:b/>
                <w:bCs/>
                <w:sz w:val="21"/>
                <w:szCs w:val="21"/>
              </w:rPr>
              <w:t>授课班级</w:t>
            </w:r>
          </w:p>
        </w:tc>
        <w:tc>
          <w:tcPr>
            <w:tcW w:w="1129" w:type="dxa"/>
          </w:tcPr>
          <w:p w14:paraId="6AC3E40E">
            <w:pPr>
              <w:jc w:val="center"/>
              <w:rPr>
                <w:rFonts w:hint="eastAsia" w:ascii="楷体" w:hAnsi="楷体" w:eastAsia="楷体" w:cs="楷体"/>
                <w:b/>
                <w:bCs/>
                <w:sz w:val="21"/>
                <w:szCs w:val="21"/>
              </w:rPr>
            </w:pPr>
          </w:p>
        </w:tc>
      </w:tr>
      <w:tr w14:paraId="7A9A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14:paraId="1DBDEE70">
            <w:pPr>
              <w:jc w:val="center"/>
              <w:rPr>
                <w:rFonts w:hint="eastAsia" w:ascii="楷体" w:hAnsi="楷体" w:eastAsia="楷体" w:cs="楷体"/>
                <w:b/>
                <w:bCs/>
                <w:sz w:val="21"/>
                <w:szCs w:val="21"/>
              </w:rPr>
            </w:pPr>
            <w:r>
              <w:rPr>
                <w:rFonts w:hint="eastAsia" w:ascii="楷体" w:hAnsi="楷体" w:eastAsia="楷体" w:cs="楷体"/>
                <w:b/>
                <w:bCs/>
                <w:sz w:val="21"/>
                <w:szCs w:val="21"/>
              </w:rPr>
              <w:t>时间</w:t>
            </w:r>
          </w:p>
        </w:tc>
        <w:tc>
          <w:tcPr>
            <w:tcW w:w="737" w:type="dxa"/>
          </w:tcPr>
          <w:p w14:paraId="58E0B715">
            <w:pPr>
              <w:jc w:val="center"/>
              <w:rPr>
                <w:rFonts w:hint="eastAsia" w:ascii="楷体" w:hAnsi="楷体" w:eastAsia="楷体" w:cs="楷体"/>
                <w:b/>
                <w:bCs/>
                <w:sz w:val="21"/>
                <w:szCs w:val="21"/>
              </w:rPr>
            </w:pPr>
          </w:p>
        </w:tc>
        <w:tc>
          <w:tcPr>
            <w:tcW w:w="1336" w:type="dxa"/>
          </w:tcPr>
          <w:p w14:paraId="55E05C2B">
            <w:pPr>
              <w:jc w:val="center"/>
              <w:rPr>
                <w:rFonts w:hint="eastAsia" w:ascii="楷体" w:hAnsi="楷体" w:eastAsia="楷体" w:cs="楷体"/>
                <w:b/>
                <w:bCs/>
                <w:sz w:val="21"/>
                <w:szCs w:val="21"/>
              </w:rPr>
            </w:pPr>
            <w:r>
              <w:rPr>
                <w:rFonts w:hint="eastAsia" w:ascii="楷体" w:hAnsi="楷体" w:eastAsia="楷体" w:cs="楷体"/>
                <w:b/>
                <w:bCs/>
                <w:sz w:val="21"/>
                <w:szCs w:val="21"/>
              </w:rPr>
              <w:t>课题</w:t>
            </w:r>
          </w:p>
        </w:tc>
        <w:tc>
          <w:tcPr>
            <w:tcW w:w="4786" w:type="dxa"/>
            <w:gridSpan w:val="3"/>
          </w:tcPr>
          <w:p w14:paraId="3F3C599E">
            <w:pPr>
              <w:jc w:val="center"/>
              <w:rPr>
                <w:rFonts w:hint="eastAsia" w:ascii="楷体" w:hAnsi="楷体" w:eastAsia="楷体" w:cs="楷体"/>
                <w:b/>
                <w:bCs/>
                <w:sz w:val="21"/>
                <w:szCs w:val="21"/>
              </w:rPr>
            </w:pPr>
          </w:p>
        </w:tc>
      </w:tr>
      <w:tr w14:paraId="7B5A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tcPr>
          <w:p w14:paraId="0E1EC7F8">
            <w:pPr>
              <w:jc w:val="center"/>
              <w:rPr>
                <w:rFonts w:hint="eastAsia" w:ascii="楷体" w:hAnsi="楷体" w:eastAsia="楷体" w:cs="楷体"/>
                <w:b/>
                <w:bCs/>
                <w:sz w:val="21"/>
                <w:szCs w:val="21"/>
              </w:rPr>
            </w:pPr>
            <w:r>
              <w:rPr>
                <w:rFonts w:hint="eastAsia" w:ascii="楷体" w:hAnsi="楷体" w:eastAsia="楷体" w:cs="楷体"/>
                <w:b/>
                <w:bCs/>
                <w:sz w:val="21"/>
                <w:szCs w:val="21"/>
              </w:rPr>
              <w:t>结构</w:t>
            </w:r>
          </w:p>
        </w:tc>
        <w:tc>
          <w:tcPr>
            <w:tcW w:w="737" w:type="dxa"/>
          </w:tcPr>
          <w:p w14:paraId="6B8A824B">
            <w:pPr>
              <w:jc w:val="center"/>
              <w:rPr>
                <w:rFonts w:hint="eastAsia" w:ascii="楷体" w:hAnsi="楷体" w:eastAsia="楷体" w:cs="楷体"/>
                <w:b/>
                <w:bCs/>
                <w:sz w:val="21"/>
                <w:szCs w:val="21"/>
              </w:rPr>
            </w:pPr>
            <w:r>
              <w:rPr>
                <w:rFonts w:hint="eastAsia" w:ascii="楷体" w:hAnsi="楷体" w:eastAsia="楷体" w:cs="楷体"/>
                <w:b/>
                <w:bCs/>
                <w:sz w:val="21"/>
                <w:szCs w:val="21"/>
              </w:rPr>
              <w:t>层次</w:t>
            </w:r>
          </w:p>
        </w:tc>
        <w:tc>
          <w:tcPr>
            <w:tcW w:w="3820" w:type="dxa"/>
            <w:gridSpan w:val="2"/>
          </w:tcPr>
          <w:p w14:paraId="5201F31A">
            <w:pPr>
              <w:jc w:val="center"/>
              <w:rPr>
                <w:rFonts w:hint="eastAsia" w:ascii="楷体" w:hAnsi="楷体" w:eastAsia="楷体" w:cs="楷体"/>
                <w:b/>
                <w:bCs/>
                <w:sz w:val="21"/>
                <w:szCs w:val="21"/>
              </w:rPr>
            </w:pPr>
            <w:r>
              <w:rPr>
                <w:rFonts w:hint="eastAsia" w:ascii="楷体" w:hAnsi="楷体" w:eastAsia="楷体" w:cs="楷体"/>
                <w:b/>
                <w:bCs/>
                <w:sz w:val="21"/>
                <w:szCs w:val="21"/>
              </w:rPr>
              <w:t>评价标准</w:t>
            </w:r>
          </w:p>
        </w:tc>
        <w:tc>
          <w:tcPr>
            <w:tcW w:w="2302" w:type="dxa"/>
            <w:gridSpan w:val="2"/>
          </w:tcPr>
          <w:p w14:paraId="745E1823">
            <w:pPr>
              <w:jc w:val="center"/>
              <w:rPr>
                <w:rFonts w:hint="eastAsia" w:ascii="楷体" w:hAnsi="楷体" w:eastAsia="楷体" w:cs="楷体"/>
                <w:b/>
                <w:bCs/>
                <w:sz w:val="21"/>
                <w:szCs w:val="21"/>
              </w:rPr>
            </w:pPr>
            <w:r>
              <w:rPr>
                <w:rFonts w:hint="eastAsia" w:ascii="楷体" w:hAnsi="楷体" w:eastAsia="楷体" w:cs="楷体"/>
                <w:b/>
                <w:bCs/>
                <w:sz w:val="21"/>
                <w:szCs w:val="21"/>
              </w:rPr>
              <w:t>具体评价标准</w:t>
            </w:r>
          </w:p>
        </w:tc>
      </w:tr>
      <w:tr w14:paraId="1FB4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Align w:val="center"/>
          </w:tcPr>
          <w:p w14:paraId="29066E0D">
            <w:pPr>
              <w:jc w:val="center"/>
              <w:rPr>
                <w:rFonts w:hint="eastAsia" w:ascii="楷体" w:hAnsi="楷体" w:eastAsia="楷体" w:cs="楷体"/>
                <w:sz w:val="21"/>
                <w:szCs w:val="21"/>
              </w:rPr>
            </w:pPr>
            <w:r>
              <w:rPr>
                <w:rFonts w:hint="eastAsia" w:ascii="楷体" w:hAnsi="楷体" w:eastAsia="楷体" w:cs="楷体"/>
                <w:sz w:val="21"/>
                <w:szCs w:val="21"/>
              </w:rPr>
              <w:t>无结构</w:t>
            </w:r>
          </w:p>
        </w:tc>
        <w:tc>
          <w:tcPr>
            <w:tcW w:w="737" w:type="dxa"/>
            <w:vAlign w:val="center"/>
          </w:tcPr>
          <w:p w14:paraId="361B1C57">
            <w:pPr>
              <w:jc w:val="center"/>
              <w:rPr>
                <w:rFonts w:hint="eastAsia" w:ascii="楷体" w:hAnsi="楷体" w:eastAsia="楷体" w:cs="楷体"/>
                <w:sz w:val="21"/>
                <w:szCs w:val="21"/>
              </w:rPr>
            </w:pPr>
            <w:r>
              <w:rPr>
                <w:rFonts w:hint="eastAsia" w:ascii="楷体" w:hAnsi="楷体" w:eastAsia="楷体" w:cs="楷体"/>
                <w:sz w:val="21"/>
                <w:szCs w:val="21"/>
              </w:rPr>
              <w:t>1</w:t>
            </w:r>
          </w:p>
        </w:tc>
        <w:tc>
          <w:tcPr>
            <w:tcW w:w="1336" w:type="dxa"/>
            <w:vAlign w:val="center"/>
          </w:tcPr>
          <w:p w14:paraId="69A36FEC">
            <w:pPr>
              <w:rPr>
                <w:rFonts w:hint="eastAsia" w:ascii="楷体" w:hAnsi="楷体" w:eastAsia="楷体" w:cs="楷体"/>
                <w:sz w:val="21"/>
                <w:szCs w:val="21"/>
              </w:rPr>
            </w:pPr>
            <w:r>
              <w:rPr>
                <w:rFonts w:hint="eastAsia" w:ascii="楷体" w:hAnsi="楷体" w:eastAsia="楷体" w:cs="楷体"/>
                <w:sz w:val="21"/>
                <w:szCs w:val="21"/>
              </w:rPr>
              <w:t>思维混乱</w:t>
            </w:r>
          </w:p>
        </w:tc>
        <w:tc>
          <w:tcPr>
            <w:tcW w:w="2484" w:type="dxa"/>
          </w:tcPr>
          <w:p w14:paraId="3D3FA689">
            <w:pPr>
              <w:rPr>
                <w:rFonts w:hint="eastAsia" w:ascii="楷体" w:hAnsi="楷体" w:eastAsia="楷体" w:cs="楷体"/>
                <w:sz w:val="21"/>
                <w:szCs w:val="21"/>
              </w:rPr>
            </w:pPr>
            <w:r>
              <w:rPr>
                <w:rFonts w:hint="eastAsia" w:ascii="楷体" w:hAnsi="楷体" w:eastAsia="楷体" w:cs="楷体"/>
                <w:sz w:val="21"/>
                <w:szCs w:val="21"/>
              </w:rPr>
              <w:t>思维混乱，无法理解问题</w:t>
            </w:r>
          </w:p>
        </w:tc>
        <w:tc>
          <w:tcPr>
            <w:tcW w:w="2302" w:type="dxa"/>
            <w:gridSpan w:val="2"/>
          </w:tcPr>
          <w:p w14:paraId="759057C9">
            <w:pPr>
              <w:rPr>
                <w:rFonts w:hint="eastAsia" w:ascii="楷体" w:hAnsi="楷体" w:eastAsia="楷体" w:cs="楷体"/>
                <w:sz w:val="21"/>
                <w:szCs w:val="21"/>
              </w:rPr>
            </w:pPr>
          </w:p>
        </w:tc>
      </w:tr>
      <w:tr w14:paraId="2E58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4754002F">
            <w:pPr>
              <w:jc w:val="center"/>
              <w:rPr>
                <w:rFonts w:hint="eastAsia" w:ascii="楷体" w:hAnsi="楷体" w:eastAsia="楷体" w:cs="楷体"/>
                <w:sz w:val="21"/>
                <w:szCs w:val="21"/>
              </w:rPr>
            </w:pPr>
            <w:r>
              <w:rPr>
                <w:rFonts w:hint="eastAsia" w:ascii="楷体" w:hAnsi="楷体" w:eastAsia="楷体" w:cs="楷体"/>
                <w:sz w:val="21"/>
                <w:szCs w:val="21"/>
              </w:rPr>
              <w:t>单点结构</w:t>
            </w:r>
          </w:p>
        </w:tc>
        <w:tc>
          <w:tcPr>
            <w:tcW w:w="737" w:type="dxa"/>
            <w:vAlign w:val="center"/>
          </w:tcPr>
          <w:p w14:paraId="2989CA54">
            <w:pPr>
              <w:jc w:val="center"/>
              <w:rPr>
                <w:rFonts w:hint="eastAsia" w:ascii="楷体" w:hAnsi="楷体" w:eastAsia="楷体" w:cs="楷体"/>
                <w:sz w:val="21"/>
                <w:szCs w:val="21"/>
              </w:rPr>
            </w:pPr>
            <w:r>
              <w:rPr>
                <w:rFonts w:hint="eastAsia" w:ascii="楷体" w:hAnsi="楷体" w:eastAsia="楷体" w:cs="楷体"/>
                <w:sz w:val="21"/>
                <w:szCs w:val="21"/>
              </w:rPr>
              <w:t>2</w:t>
            </w:r>
          </w:p>
        </w:tc>
        <w:tc>
          <w:tcPr>
            <w:tcW w:w="1336" w:type="dxa"/>
            <w:vMerge w:val="restart"/>
            <w:vAlign w:val="center"/>
          </w:tcPr>
          <w:p w14:paraId="1BC631B0">
            <w:pPr>
              <w:rPr>
                <w:rFonts w:hint="eastAsia" w:ascii="楷体" w:hAnsi="楷体" w:eastAsia="楷体" w:cs="楷体"/>
                <w:sz w:val="21"/>
                <w:szCs w:val="21"/>
              </w:rPr>
            </w:pPr>
            <w:r>
              <w:rPr>
                <w:rFonts w:hint="eastAsia" w:ascii="楷体" w:hAnsi="楷体" w:eastAsia="楷体" w:cs="楷体"/>
                <w:sz w:val="21"/>
                <w:szCs w:val="21"/>
              </w:rPr>
              <w:t>单一角度思考问题</w:t>
            </w:r>
          </w:p>
        </w:tc>
        <w:tc>
          <w:tcPr>
            <w:tcW w:w="2484" w:type="dxa"/>
          </w:tcPr>
          <w:p w14:paraId="7112725A">
            <w:pPr>
              <w:rPr>
                <w:rFonts w:hint="eastAsia" w:ascii="楷体" w:hAnsi="楷体" w:eastAsia="楷体" w:cs="楷体"/>
                <w:sz w:val="21"/>
                <w:szCs w:val="21"/>
              </w:rPr>
            </w:pPr>
            <w:r>
              <w:rPr>
                <w:rFonts w:hint="eastAsia" w:ascii="楷体" w:hAnsi="楷体" w:eastAsia="楷体" w:cs="楷体"/>
                <w:sz w:val="21"/>
                <w:szCs w:val="21"/>
              </w:rPr>
              <w:t>要点表述错误</w:t>
            </w:r>
          </w:p>
        </w:tc>
        <w:tc>
          <w:tcPr>
            <w:tcW w:w="2302" w:type="dxa"/>
            <w:gridSpan w:val="2"/>
          </w:tcPr>
          <w:p w14:paraId="3B1A548B">
            <w:pPr>
              <w:rPr>
                <w:rFonts w:hint="eastAsia" w:ascii="楷体" w:hAnsi="楷体" w:eastAsia="楷体" w:cs="楷体"/>
                <w:sz w:val="21"/>
                <w:szCs w:val="21"/>
              </w:rPr>
            </w:pPr>
          </w:p>
        </w:tc>
      </w:tr>
      <w:tr w14:paraId="5F98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46E122E4">
            <w:pPr>
              <w:jc w:val="center"/>
              <w:rPr>
                <w:rFonts w:hint="eastAsia" w:ascii="楷体" w:hAnsi="楷体" w:eastAsia="楷体" w:cs="楷体"/>
                <w:sz w:val="21"/>
                <w:szCs w:val="21"/>
              </w:rPr>
            </w:pPr>
          </w:p>
        </w:tc>
        <w:tc>
          <w:tcPr>
            <w:tcW w:w="737" w:type="dxa"/>
            <w:vAlign w:val="center"/>
          </w:tcPr>
          <w:p w14:paraId="6569E35A">
            <w:pPr>
              <w:jc w:val="center"/>
              <w:rPr>
                <w:rFonts w:hint="eastAsia" w:ascii="楷体" w:hAnsi="楷体" w:eastAsia="楷体" w:cs="楷体"/>
                <w:sz w:val="21"/>
                <w:szCs w:val="21"/>
              </w:rPr>
            </w:pPr>
            <w:r>
              <w:rPr>
                <w:rFonts w:hint="eastAsia" w:ascii="楷体" w:hAnsi="楷体" w:eastAsia="楷体" w:cs="楷体"/>
                <w:sz w:val="21"/>
                <w:szCs w:val="21"/>
              </w:rPr>
              <w:t>3</w:t>
            </w:r>
          </w:p>
        </w:tc>
        <w:tc>
          <w:tcPr>
            <w:tcW w:w="1336" w:type="dxa"/>
            <w:vMerge w:val="continue"/>
            <w:vAlign w:val="center"/>
          </w:tcPr>
          <w:p w14:paraId="05E3D388">
            <w:pPr>
              <w:rPr>
                <w:rFonts w:hint="eastAsia" w:ascii="楷体" w:hAnsi="楷体" w:eastAsia="楷体" w:cs="楷体"/>
                <w:sz w:val="21"/>
                <w:szCs w:val="21"/>
              </w:rPr>
            </w:pPr>
          </w:p>
        </w:tc>
        <w:tc>
          <w:tcPr>
            <w:tcW w:w="2484" w:type="dxa"/>
          </w:tcPr>
          <w:p w14:paraId="4A4C6505">
            <w:pPr>
              <w:rPr>
                <w:rFonts w:hint="eastAsia" w:ascii="楷体" w:hAnsi="楷体" w:eastAsia="楷体" w:cs="楷体"/>
                <w:sz w:val="21"/>
                <w:szCs w:val="21"/>
              </w:rPr>
            </w:pPr>
            <w:r>
              <w:rPr>
                <w:rFonts w:hint="eastAsia" w:ascii="楷体" w:hAnsi="楷体" w:eastAsia="楷体" w:cs="楷体"/>
                <w:sz w:val="21"/>
                <w:szCs w:val="21"/>
              </w:rPr>
              <w:t>要点表述正确</w:t>
            </w:r>
          </w:p>
        </w:tc>
        <w:tc>
          <w:tcPr>
            <w:tcW w:w="2302" w:type="dxa"/>
            <w:gridSpan w:val="2"/>
          </w:tcPr>
          <w:p w14:paraId="62868C36">
            <w:pPr>
              <w:rPr>
                <w:rFonts w:hint="eastAsia" w:ascii="楷体" w:hAnsi="楷体" w:eastAsia="楷体" w:cs="楷体"/>
                <w:sz w:val="21"/>
                <w:szCs w:val="21"/>
              </w:rPr>
            </w:pPr>
          </w:p>
        </w:tc>
      </w:tr>
      <w:tr w14:paraId="6FCD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25A5728F">
            <w:pPr>
              <w:jc w:val="center"/>
              <w:rPr>
                <w:rFonts w:hint="eastAsia" w:ascii="楷体" w:hAnsi="楷体" w:eastAsia="楷体" w:cs="楷体"/>
                <w:sz w:val="21"/>
                <w:szCs w:val="21"/>
              </w:rPr>
            </w:pPr>
            <w:r>
              <w:rPr>
                <w:rFonts w:hint="eastAsia" w:ascii="楷体" w:hAnsi="楷体" w:eastAsia="楷体" w:cs="楷体"/>
                <w:sz w:val="21"/>
                <w:szCs w:val="21"/>
              </w:rPr>
              <w:t>多点结构</w:t>
            </w:r>
          </w:p>
        </w:tc>
        <w:tc>
          <w:tcPr>
            <w:tcW w:w="737" w:type="dxa"/>
            <w:vAlign w:val="center"/>
          </w:tcPr>
          <w:p w14:paraId="3CD0B0B8">
            <w:pPr>
              <w:jc w:val="center"/>
              <w:rPr>
                <w:rFonts w:hint="eastAsia" w:ascii="楷体" w:hAnsi="楷体" w:eastAsia="楷体" w:cs="楷体"/>
                <w:sz w:val="21"/>
                <w:szCs w:val="21"/>
              </w:rPr>
            </w:pPr>
            <w:r>
              <w:rPr>
                <w:rFonts w:hint="eastAsia" w:ascii="楷体" w:hAnsi="楷体" w:eastAsia="楷体" w:cs="楷体"/>
                <w:sz w:val="21"/>
                <w:szCs w:val="21"/>
              </w:rPr>
              <w:t>4</w:t>
            </w:r>
          </w:p>
        </w:tc>
        <w:tc>
          <w:tcPr>
            <w:tcW w:w="1336" w:type="dxa"/>
            <w:vMerge w:val="restart"/>
            <w:vAlign w:val="center"/>
          </w:tcPr>
          <w:p w14:paraId="7DEF19FF">
            <w:pPr>
              <w:rPr>
                <w:rFonts w:hint="eastAsia" w:ascii="楷体" w:hAnsi="楷体" w:eastAsia="楷体" w:cs="楷体"/>
                <w:sz w:val="21"/>
                <w:szCs w:val="21"/>
              </w:rPr>
            </w:pPr>
            <w:r>
              <w:rPr>
                <w:rFonts w:hint="eastAsia" w:ascii="楷体" w:hAnsi="楷体" w:eastAsia="楷体" w:cs="楷体"/>
                <w:sz w:val="21"/>
                <w:szCs w:val="21"/>
              </w:rPr>
              <w:t>两个及以上角度思考问题</w:t>
            </w:r>
          </w:p>
        </w:tc>
        <w:tc>
          <w:tcPr>
            <w:tcW w:w="2484" w:type="dxa"/>
          </w:tcPr>
          <w:p w14:paraId="05AB63E4">
            <w:pPr>
              <w:rPr>
                <w:rFonts w:hint="eastAsia" w:ascii="楷体" w:hAnsi="楷体" w:eastAsia="楷体" w:cs="楷体"/>
                <w:sz w:val="21"/>
                <w:szCs w:val="21"/>
              </w:rPr>
            </w:pPr>
            <w:r>
              <w:rPr>
                <w:rFonts w:hint="eastAsia" w:ascii="楷体" w:hAnsi="楷体" w:eastAsia="楷体" w:cs="楷体"/>
                <w:sz w:val="21"/>
                <w:szCs w:val="21"/>
              </w:rPr>
              <w:t>部分要点表述正确，但仍存在表述错误的要点或缺少某些要点</w:t>
            </w:r>
          </w:p>
        </w:tc>
        <w:tc>
          <w:tcPr>
            <w:tcW w:w="2302" w:type="dxa"/>
            <w:gridSpan w:val="2"/>
          </w:tcPr>
          <w:p w14:paraId="2DC2623F">
            <w:pPr>
              <w:rPr>
                <w:rFonts w:hint="eastAsia" w:ascii="楷体" w:hAnsi="楷体" w:eastAsia="楷体" w:cs="楷体"/>
                <w:sz w:val="21"/>
                <w:szCs w:val="21"/>
              </w:rPr>
            </w:pPr>
          </w:p>
        </w:tc>
      </w:tr>
      <w:tr w14:paraId="7EFC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41BCF46A">
            <w:pPr>
              <w:jc w:val="center"/>
              <w:rPr>
                <w:rFonts w:hint="eastAsia" w:ascii="楷体" w:hAnsi="楷体" w:eastAsia="楷体" w:cs="楷体"/>
                <w:sz w:val="21"/>
                <w:szCs w:val="21"/>
              </w:rPr>
            </w:pPr>
          </w:p>
        </w:tc>
        <w:tc>
          <w:tcPr>
            <w:tcW w:w="737" w:type="dxa"/>
            <w:vAlign w:val="center"/>
          </w:tcPr>
          <w:p w14:paraId="2A277D9F">
            <w:pPr>
              <w:jc w:val="center"/>
              <w:rPr>
                <w:rFonts w:hint="eastAsia" w:ascii="楷体" w:hAnsi="楷体" w:eastAsia="楷体" w:cs="楷体"/>
                <w:sz w:val="21"/>
                <w:szCs w:val="21"/>
              </w:rPr>
            </w:pPr>
            <w:r>
              <w:rPr>
                <w:rFonts w:hint="eastAsia" w:ascii="楷体" w:hAnsi="楷体" w:eastAsia="楷体" w:cs="楷体"/>
                <w:sz w:val="21"/>
                <w:szCs w:val="21"/>
              </w:rPr>
              <w:t>5</w:t>
            </w:r>
          </w:p>
        </w:tc>
        <w:tc>
          <w:tcPr>
            <w:tcW w:w="1336" w:type="dxa"/>
            <w:vMerge w:val="continue"/>
            <w:vAlign w:val="center"/>
          </w:tcPr>
          <w:p w14:paraId="4DE4E656">
            <w:pPr>
              <w:rPr>
                <w:rFonts w:hint="eastAsia" w:ascii="楷体" w:hAnsi="楷体" w:eastAsia="楷体" w:cs="楷体"/>
                <w:sz w:val="21"/>
                <w:szCs w:val="21"/>
              </w:rPr>
            </w:pPr>
          </w:p>
        </w:tc>
        <w:tc>
          <w:tcPr>
            <w:tcW w:w="2484" w:type="dxa"/>
          </w:tcPr>
          <w:p w14:paraId="550260F1">
            <w:pPr>
              <w:rPr>
                <w:rFonts w:hint="eastAsia" w:ascii="楷体" w:hAnsi="楷体" w:eastAsia="楷体" w:cs="楷体"/>
                <w:sz w:val="21"/>
                <w:szCs w:val="21"/>
              </w:rPr>
            </w:pPr>
            <w:r>
              <w:rPr>
                <w:rFonts w:hint="eastAsia" w:ascii="楷体" w:hAnsi="楷体" w:eastAsia="楷体" w:cs="楷体"/>
                <w:sz w:val="21"/>
                <w:szCs w:val="21"/>
              </w:rPr>
              <w:t>提及大部分要点，且表述正确</w:t>
            </w:r>
          </w:p>
        </w:tc>
        <w:tc>
          <w:tcPr>
            <w:tcW w:w="2302" w:type="dxa"/>
            <w:gridSpan w:val="2"/>
          </w:tcPr>
          <w:p w14:paraId="50F46A03">
            <w:pPr>
              <w:rPr>
                <w:rFonts w:hint="eastAsia" w:ascii="楷体" w:hAnsi="楷体" w:eastAsia="楷体" w:cs="楷体"/>
                <w:sz w:val="21"/>
                <w:szCs w:val="21"/>
              </w:rPr>
            </w:pPr>
          </w:p>
        </w:tc>
      </w:tr>
      <w:tr w14:paraId="19F4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1DA77F5B">
            <w:pPr>
              <w:jc w:val="center"/>
              <w:rPr>
                <w:rFonts w:hint="eastAsia" w:ascii="楷体" w:hAnsi="楷体" w:eastAsia="楷体" w:cs="楷体"/>
                <w:sz w:val="21"/>
                <w:szCs w:val="21"/>
              </w:rPr>
            </w:pPr>
            <w:r>
              <w:rPr>
                <w:rFonts w:hint="eastAsia" w:ascii="楷体" w:hAnsi="楷体" w:eastAsia="楷体" w:cs="楷体"/>
                <w:sz w:val="21"/>
                <w:szCs w:val="21"/>
              </w:rPr>
              <w:t>关联结构</w:t>
            </w:r>
          </w:p>
        </w:tc>
        <w:tc>
          <w:tcPr>
            <w:tcW w:w="737" w:type="dxa"/>
            <w:vAlign w:val="center"/>
          </w:tcPr>
          <w:p w14:paraId="34C70BF9">
            <w:pPr>
              <w:jc w:val="center"/>
              <w:rPr>
                <w:rFonts w:hint="eastAsia" w:ascii="楷体" w:hAnsi="楷体" w:eastAsia="楷体" w:cs="楷体"/>
                <w:sz w:val="21"/>
                <w:szCs w:val="21"/>
              </w:rPr>
            </w:pPr>
            <w:r>
              <w:rPr>
                <w:rFonts w:hint="eastAsia" w:ascii="楷体" w:hAnsi="楷体" w:eastAsia="楷体" w:cs="楷体"/>
                <w:sz w:val="21"/>
                <w:szCs w:val="21"/>
              </w:rPr>
              <w:t>6</w:t>
            </w:r>
          </w:p>
        </w:tc>
        <w:tc>
          <w:tcPr>
            <w:tcW w:w="1336" w:type="dxa"/>
            <w:vMerge w:val="restart"/>
            <w:vAlign w:val="center"/>
          </w:tcPr>
          <w:p w14:paraId="4ECE95AC">
            <w:pPr>
              <w:rPr>
                <w:rFonts w:hint="eastAsia" w:ascii="楷体" w:hAnsi="楷体" w:eastAsia="楷体" w:cs="楷体"/>
                <w:sz w:val="21"/>
                <w:szCs w:val="21"/>
              </w:rPr>
            </w:pPr>
            <w:r>
              <w:rPr>
                <w:rFonts w:hint="eastAsia" w:ascii="楷体" w:hAnsi="楷体" w:eastAsia="楷体" w:cs="楷体"/>
                <w:sz w:val="21"/>
                <w:szCs w:val="21"/>
              </w:rPr>
              <w:t>两个及以上要点与问题建立联系</w:t>
            </w:r>
          </w:p>
        </w:tc>
        <w:tc>
          <w:tcPr>
            <w:tcW w:w="2484" w:type="dxa"/>
          </w:tcPr>
          <w:p w14:paraId="0909A853">
            <w:pPr>
              <w:rPr>
                <w:rFonts w:hint="eastAsia" w:ascii="楷体" w:hAnsi="楷体" w:eastAsia="楷体" w:cs="楷体"/>
                <w:sz w:val="21"/>
                <w:szCs w:val="21"/>
              </w:rPr>
            </w:pPr>
            <w:r>
              <w:rPr>
                <w:rFonts w:hint="eastAsia" w:ascii="楷体" w:hAnsi="楷体" w:eastAsia="楷体" w:cs="楷体"/>
                <w:sz w:val="21"/>
                <w:szCs w:val="21"/>
              </w:rPr>
              <w:t>两个及以上要走点建立正确联系，部分联系错误，或仍存在单独表述的要点</w:t>
            </w:r>
          </w:p>
        </w:tc>
        <w:tc>
          <w:tcPr>
            <w:tcW w:w="2302" w:type="dxa"/>
            <w:gridSpan w:val="2"/>
          </w:tcPr>
          <w:p w14:paraId="4068559C">
            <w:pPr>
              <w:rPr>
                <w:rFonts w:hint="eastAsia" w:ascii="楷体" w:hAnsi="楷体" w:eastAsia="楷体" w:cs="楷体"/>
                <w:sz w:val="21"/>
                <w:szCs w:val="21"/>
              </w:rPr>
            </w:pPr>
          </w:p>
        </w:tc>
      </w:tr>
      <w:tr w14:paraId="53BC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vAlign w:val="center"/>
          </w:tcPr>
          <w:p w14:paraId="22FB215C">
            <w:pPr>
              <w:rPr>
                <w:rFonts w:hint="eastAsia" w:ascii="楷体" w:hAnsi="楷体" w:eastAsia="楷体" w:cs="楷体"/>
                <w:sz w:val="21"/>
                <w:szCs w:val="21"/>
              </w:rPr>
            </w:pPr>
          </w:p>
        </w:tc>
        <w:tc>
          <w:tcPr>
            <w:tcW w:w="737" w:type="dxa"/>
            <w:vAlign w:val="center"/>
          </w:tcPr>
          <w:p w14:paraId="20B93C37">
            <w:pPr>
              <w:jc w:val="center"/>
              <w:rPr>
                <w:rFonts w:hint="eastAsia" w:ascii="楷体" w:hAnsi="楷体" w:eastAsia="楷体" w:cs="楷体"/>
                <w:sz w:val="21"/>
                <w:szCs w:val="21"/>
              </w:rPr>
            </w:pPr>
            <w:r>
              <w:rPr>
                <w:rFonts w:hint="eastAsia" w:ascii="楷体" w:hAnsi="楷体" w:eastAsia="楷体" w:cs="楷体"/>
                <w:sz w:val="21"/>
                <w:szCs w:val="21"/>
              </w:rPr>
              <w:t>7</w:t>
            </w:r>
          </w:p>
        </w:tc>
        <w:tc>
          <w:tcPr>
            <w:tcW w:w="1336" w:type="dxa"/>
            <w:vMerge w:val="continue"/>
            <w:vAlign w:val="center"/>
          </w:tcPr>
          <w:p w14:paraId="6E39CEEF">
            <w:pPr>
              <w:rPr>
                <w:rFonts w:hint="eastAsia" w:ascii="楷体" w:hAnsi="楷体" w:eastAsia="楷体" w:cs="楷体"/>
                <w:sz w:val="21"/>
                <w:szCs w:val="21"/>
              </w:rPr>
            </w:pPr>
          </w:p>
        </w:tc>
        <w:tc>
          <w:tcPr>
            <w:tcW w:w="2484" w:type="dxa"/>
          </w:tcPr>
          <w:p w14:paraId="208C0538">
            <w:pPr>
              <w:rPr>
                <w:rFonts w:hint="eastAsia" w:ascii="楷体" w:hAnsi="楷体" w:eastAsia="楷体" w:cs="楷体"/>
                <w:sz w:val="21"/>
                <w:szCs w:val="21"/>
              </w:rPr>
            </w:pPr>
            <w:r>
              <w:rPr>
                <w:rFonts w:hint="eastAsia" w:ascii="楷体" w:hAnsi="楷体" w:eastAsia="楷体" w:cs="楷体"/>
                <w:sz w:val="21"/>
                <w:szCs w:val="21"/>
              </w:rPr>
              <w:t>建立正确且完整的知识网络</w:t>
            </w:r>
          </w:p>
        </w:tc>
        <w:tc>
          <w:tcPr>
            <w:tcW w:w="2302" w:type="dxa"/>
            <w:gridSpan w:val="2"/>
          </w:tcPr>
          <w:p w14:paraId="709A5B03">
            <w:pPr>
              <w:rPr>
                <w:rFonts w:hint="eastAsia" w:ascii="楷体" w:hAnsi="楷体" w:eastAsia="楷体" w:cs="楷体"/>
                <w:sz w:val="21"/>
                <w:szCs w:val="21"/>
              </w:rPr>
            </w:pPr>
          </w:p>
        </w:tc>
      </w:tr>
      <w:tr w14:paraId="3424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restart"/>
            <w:vAlign w:val="center"/>
          </w:tcPr>
          <w:p w14:paraId="2BA0ED6E">
            <w:pPr>
              <w:jc w:val="center"/>
              <w:rPr>
                <w:rFonts w:hint="eastAsia" w:ascii="楷体" w:hAnsi="楷体" w:eastAsia="楷体" w:cs="楷体"/>
                <w:sz w:val="21"/>
                <w:szCs w:val="21"/>
              </w:rPr>
            </w:pPr>
            <w:r>
              <w:rPr>
                <w:rFonts w:hint="eastAsia" w:ascii="楷体" w:hAnsi="楷体" w:eastAsia="楷体" w:cs="楷体"/>
                <w:sz w:val="21"/>
                <w:szCs w:val="21"/>
              </w:rPr>
              <w:t>拓展抽象结构</w:t>
            </w:r>
          </w:p>
        </w:tc>
        <w:tc>
          <w:tcPr>
            <w:tcW w:w="737" w:type="dxa"/>
            <w:vAlign w:val="center"/>
          </w:tcPr>
          <w:p w14:paraId="43860BC3">
            <w:pPr>
              <w:jc w:val="center"/>
              <w:rPr>
                <w:rFonts w:hint="eastAsia" w:ascii="楷体" w:hAnsi="楷体" w:eastAsia="楷体" w:cs="楷体"/>
                <w:sz w:val="21"/>
                <w:szCs w:val="21"/>
              </w:rPr>
            </w:pPr>
            <w:r>
              <w:rPr>
                <w:rFonts w:hint="eastAsia" w:ascii="楷体" w:hAnsi="楷体" w:eastAsia="楷体" w:cs="楷体"/>
                <w:sz w:val="21"/>
                <w:szCs w:val="21"/>
              </w:rPr>
              <w:t>8</w:t>
            </w:r>
          </w:p>
        </w:tc>
        <w:tc>
          <w:tcPr>
            <w:tcW w:w="1336" w:type="dxa"/>
            <w:vMerge w:val="restart"/>
            <w:vAlign w:val="center"/>
          </w:tcPr>
          <w:p w14:paraId="4519348A">
            <w:pPr>
              <w:rPr>
                <w:rFonts w:hint="eastAsia" w:ascii="楷体" w:hAnsi="楷体" w:eastAsia="楷体" w:cs="楷体"/>
                <w:sz w:val="21"/>
                <w:szCs w:val="21"/>
              </w:rPr>
            </w:pPr>
            <w:r>
              <w:rPr>
                <w:rFonts w:hint="eastAsia" w:ascii="楷体" w:hAnsi="楷体" w:eastAsia="楷体" w:cs="楷体"/>
                <w:sz w:val="21"/>
                <w:szCs w:val="21"/>
              </w:rPr>
              <w:t>抽象思考，迁移知识</w:t>
            </w:r>
          </w:p>
        </w:tc>
        <w:tc>
          <w:tcPr>
            <w:tcW w:w="2484" w:type="dxa"/>
          </w:tcPr>
          <w:p w14:paraId="1E040D42">
            <w:pPr>
              <w:rPr>
                <w:rFonts w:hint="eastAsia" w:ascii="楷体" w:hAnsi="楷体" w:eastAsia="楷体" w:cs="楷体"/>
                <w:sz w:val="21"/>
                <w:szCs w:val="21"/>
              </w:rPr>
            </w:pPr>
            <w:r>
              <w:rPr>
                <w:rFonts w:hint="eastAsia" w:ascii="楷体" w:hAnsi="楷体" w:eastAsia="楷体" w:cs="楷体"/>
                <w:sz w:val="21"/>
                <w:szCs w:val="21"/>
              </w:rPr>
              <w:t>抽象到相类似情境</w:t>
            </w:r>
          </w:p>
        </w:tc>
        <w:tc>
          <w:tcPr>
            <w:tcW w:w="2302" w:type="dxa"/>
            <w:gridSpan w:val="2"/>
          </w:tcPr>
          <w:p w14:paraId="5EC88565">
            <w:pPr>
              <w:rPr>
                <w:rFonts w:hint="eastAsia" w:ascii="楷体" w:hAnsi="楷体" w:eastAsia="楷体" w:cs="楷体"/>
                <w:sz w:val="21"/>
                <w:szCs w:val="21"/>
              </w:rPr>
            </w:pPr>
          </w:p>
        </w:tc>
      </w:tr>
      <w:tr w14:paraId="735C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 w:type="dxa"/>
            <w:vMerge w:val="continue"/>
          </w:tcPr>
          <w:p w14:paraId="5534B2FD">
            <w:pPr>
              <w:rPr>
                <w:rFonts w:hint="eastAsia" w:ascii="楷体" w:hAnsi="楷体" w:eastAsia="楷体" w:cs="楷体"/>
                <w:sz w:val="21"/>
                <w:szCs w:val="21"/>
              </w:rPr>
            </w:pPr>
          </w:p>
        </w:tc>
        <w:tc>
          <w:tcPr>
            <w:tcW w:w="737" w:type="dxa"/>
            <w:vAlign w:val="center"/>
          </w:tcPr>
          <w:p w14:paraId="0155FA62">
            <w:pPr>
              <w:jc w:val="center"/>
              <w:rPr>
                <w:rFonts w:hint="eastAsia" w:ascii="楷体" w:hAnsi="楷体" w:eastAsia="楷体" w:cs="楷体"/>
                <w:sz w:val="21"/>
                <w:szCs w:val="21"/>
              </w:rPr>
            </w:pPr>
            <w:r>
              <w:rPr>
                <w:rFonts w:hint="eastAsia" w:ascii="楷体" w:hAnsi="楷体" w:eastAsia="楷体" w:cs="楷体"/>
                <w:sz w:val="21"/>
                <w:szCs w:val="21"/>
              </w:rPr>
              <w:t>9</w:t>
            </w:r>
          </w:p>
        </w:tc>
        <w:tc>
          <w:tcPr>
            <w:tcW w:w="1336" w:type="dxa"/>
            <w:vMerge w:val="continue"/>
            <w:vAlign w:val="center"/>
          </w:tcPr>
          <w:p w14:paraId="09AC3AEA">
            <w:pPr>
              <w:rPr>
                <w:rFonts w:hint="eastAsia" w:ascii="楷体" w:hAnsi="楷体" w:eastAsia="楷体" w:cs="楷体"/>
                <w:sz w:val="21"/>
                <w:szCs w:val="21"/>
              </w:rPr>
            </w:pPr>
          </w:p>
        </w:tc>
        <w:tc>
          <w:tcPr>
            <w:tcW w:w="2484" w:type="dxa"/>
          </w:tcPr>
          <w:p w14:paraId="539E1664">
            <w:pPr>
              <w:rPr>
                <w:rFonts w:hint="eastAsia" w:ascii="楷体" w:hAnsi="楷体" w:eastAsia="楷体" w:cs="楷体"/>
                <w:sz w:val="21"/>
                <w:szCs w:val="21"/>
              </w:rPr>
            </w:pPr>
            <w:r>
              <w:rPr>
                <w:rFonts w:hint="eastAsia" w:ascii="楷体" w:hAnsi="楷体" w:eastAsia="楷体" w:cs="楷体"/>
                <w:sz w:val="21"/>
                <w:szCs w:val="21"/>
              </w:rPr>
              <w:t>拓展到陌生的或结构不良的问题情境</w:t>
            </w:r>
          </w:p>
        </w:tc>
        <w:tc>
          <w:tcPr>
            <w:tcW w:w="2302" w:type="dxa"/>
            <w:gridSpan w:val="2"/>
          </w:tcPr>
          <w:p w14:paraId="6AE65DFF">
            <w:pPr>
              <w:rPr>
                <w:rFonts w:hint="eastAsia" w:ascii="楷体" w:hAnsi="楷体" w:eastAsia="楷体" w:cs="楷体"/>
                <w:sz w:val="21"/>
                <w:szCs w:val="21"/>
              </w:rPr>
            </w:pPr>
          </w:p>
        </w:tc>
      </w:tr>
    </w:tbl>
    <w:p w14:paraId="78F707C7">
      <w:pPr>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注：具体评价标准根据具体的基本问题设计</w:t>
      </w:r>
    </w:p>
    <w:p w14:paraId="443B3C8C">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现性评价是针对学生在学习过程中的不同行为表现展开。教师通过课堂倾听、观察等方式，对学生完成学习任务和活动时在合作交流、知识整合、解决应用、成果展示等方面展现的情况进行评价，把握学生在面对复杂情境时展现的能力水平，实时获取学生目标是否达成的证据。表现性评价表见表</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rPr>
        <w:t>。</w:t>
      </w:r>
    </w:p>
    <w:p w14:paraId="27E47F73">
      <w:pPr>
        <w:jc w:val="center"/>
        <w:rPr>
          <w:rFonts w:hint="eastAsia" w:ascii="楷体" w:hAnsi="楷体" w:eastAsia="楷体" w:cs="楷体"/>
          <w:sz w:val="21"/>
          <w:szCs w:val="21"/>
        </w:rPr>
      </w:pPr>
      <w:r>
        <w:rPr>
          <w:rFonts w:hint="eastAsia" w:ascii="楷体" w:hAnsi="楷体" w:eastAsia="楷体" w:cs="楷体"/>
          <w:sz w:val="21"/>
          <w:szCs w:val="21"/>
        </w:rPr>
        <w:t>表</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学科核心素养导向下</w:t>
      </w:r>
      <w:r>
        <w:rPr>
          <w:rFonts w:hint="eastAsia" w:ascii="楷体" w:hAnsi="楷体" w:eastAsia="楷体" w:cs="楷体"/>
          <w:sz w:val="21"/>
          <w:szCs w:val="21"/>
        </w:rPr>
        <w:t>的初中化学单元教学表现性评价表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120"/>
        <w:gridCol w:w="1402"/>
        <w:gridCol w:w="1752"/>
        <w:gridCol w:w="1384"/>
        <w:gridCol w:w="1033"/>
      </w:tblGrid>
      <w:tr w14:paraId="71B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tcPr>
          <w:p w14:paraId="5A1AF699">
            <w:pPr>
              <w:jc w:val="center"/>
              <w:rPr>
                <w:rFonts w:hint="eastAsia" w:ascii="楷体" w:hAnsi="楷体" w:eastAsia="楷体" w:cs="楷体"/>
                <w:b/>
                <w:bCs/>
                <w:sz w:val="21"/>
                <w:szCs w:val="21"/>
              </w:rPr>
            </w:pPr>
            <w:r>
              <w:rPr>
                <w:rFonts w:hint="eastAsia" w:ascii="楷体" w:hAnsi="楷体" w:eastAsia="楷体" w:cs="楷体"/>
                <w:b/>
                <w:bCs/>
                <w:sz w:val="21"/>
                <w:szCs w:val="21"/>
              </w:rPr>
              <w:t>姓名</w:t>
            </w:r>
          </w:p>
        </w:tc>
        <w:tc>
          <w:tcPr>
            <w:tcW w:w="1120" w:type="dxa"/>
          </w:tcPr>
          <w:p w14:paraId="784F96BD">
            <w:pPr>
              <w:jc w:val="center"/>
              <w:rPr>
                <w:rFonts w:hint="eastAsia" w:ascii="楷体" w:hAnsi="楷体" w:eastAsia="楷体" w:cs="楷体"/>
                <w:b/>
                <w:bCs/>
                <w:sz w:val="21"/>
                <w:szCs w:val="21"/>
              </w:rPr>
            </w:pPr>
          </w:p>
        </w:tc>
        <w:tc>
          <w:tcPr>
            <w:tcW w:w="1402" w:type="dxa"/>
          </w:tcPr>
          <w:p w14:paraId="4DF023AF">
            <w:pPr>
              <w:jc w:val="center"/>
              <w:rPr>
                <w:rFonts w:hint="eastAsia" w:ascii="楷体" w:hAnsi="楷体" w:eastAsia="楷体" w:cs="楷体"/>
                <w:b/>
                <w:bCs/>
                <w:sz w:val="21"/>
                <w:szCs w:val="21"/>
              </w:rPr>
            </w:pPr>
            <w:r>
              <w:rPr>
                <w:rFonts w:hint="eastAsia" w:ascii="楷体" w:hAnsi="楷体" w:eastAsia="楷体" w:cs="楷体"/>
                <w:b/>
                <w:bCs/>
                <w:sz w:val="21"/>
                <w:szCs w:val="21"/>
              </w:rPr>
              <w:t>学校</w:t>
            </w:r>
          </w:p>
        </w:tc>
        <w:tc>
          <w:tcPr>
            <w:tcW w:w="1752" w:type="dxa"/>
          </w:tcPr>
          <w:p w14:paraId="75213777">
            <w:pPr>
              <w:jc w:val="center"/>
              <w:rPr>
                <w:rFonts w:hint="eastAsia" w:ascii="楷体" w:hAnsi="楷体" w:eastAsia="楷体" w:cs="楷体"/>
                <w:b/>
                <w:bCs/>
                <w:sz w:val="21"/>
                <w:szCs w:val="21"/>
              </w:rPr>
            </w:pPr>
          </w:p>
        </w:tc>
        <w:tc>
          <w:tcPr>
            <w:tcW w:w="1384" w:type="dxa"/>
          </w:tcPr>
          <w:p w14:paraId="26B83E57">
            <w:pPr>
              <w:jc w:val="center"/>
              <w:rPr>
                <w:rFonts w:hint="eastAsia" w:ascii="楷体" w:hAnsi="楷体" w:eastAsia="楷体" w:cs="楷体"/>
                <w:b/>
                <w:bCs/>
                <w:sz w:val="21"/>
                <w:szCs w:val="21"/>
              </w:rPr>
            </w:pPr>
            <w:r>
              <w:rPr>
                <w:rFonts w:hint="eastAsia" w:ascii="楷体" w:hAnsi="楷体" w:eastAsia="楷体" w:cs="楷体"/>
                <w:b/>
                <w:bCs/>
                <w:sz w:val="21"/>
                <w:szCs w:val="21"/>
              </w:rPr>
              <w:t>授课班级</w:t>
            </w:r>
          </w:p>
        </w:tc>
        <w:tc>
          <w:tcPr>
            <w:tcW w:w="1033" w:type="dxa"/>
          </w:tcPr>
          <w:p w14:paraId="646E51B2">
            <w:pPr>
              <w:jc w:val="center"/>
              <w:rPr>
                <w:rFonts w:hint="eastAsia" w:ascii="楷体" w:hAnsi="楷体" w:eastAsia="楷体" w:cs="楷体"/>
                <w:b/>
                <w:bCs/>
                <w:sz w:val="21"/>
                <w:szCs w:val="21"/>
              </w:rPr>
            </w:pPr>
          </w:p>
        </w:tc>
      </w:tr>
      <w:tr w14:paraId="3E99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tcPr>
          <w:p w14:paraId="03F2B4C3">
            <w:pPr>
              <w:jc w:val="center"/>
              <w:rPr>
                <w:rFonts w:hint="eastAsia" w:ascii="楷体" w:hAnsi="楷体" w:eastAsia="楷体" w:cs="楷体"/>
                <w:b/>
                <w:bCs/>
                <w:sz w:val="21"/>
                <w:szCs w:val="21"/>
              </w:rPr>
            </w:pPr>
            <w:r>
              <w:rPr>
                <w:rFonts w:hint="eastAsia" w:ascii="楷体" w:hAnsi="楷体" w:eastAsia="楷体" w:cs="楷体"/>
                <w:b/>
                <w:bCs/>
                <w:sz w:val="21"/>
                <w:szCs w:val="21"/>
              </w:rPr>
              <w:t>时间</w:t>
            </w:r>
          </w:p>
        </w:tc>
        <w:tc>
          <w:tcPr>
            <w:tcW w:w="1120" w:type="dxa"/>
          </w:tcPr>
          <w:p w14:paraId="6E853850">
            <w:pPr>
              <w:jc w:val="center"/>
              <w:rPr>
                <w:rFonts w:hint="eastAsia" w:ascii="楷体" w:hAnsi="楷体" w:eastAsia="楷体" w:cs="楷体"/>
                <w:b/>
                <w:bCs/>
                <w:sz w:val="21"/>
                <w:szCs w:val="21"/>
              </w:rPr>
            </w:pPr>
          </w:p>
        </w:tc>
        <w:tc>
          <w:tcPr>
            <w:tcW w:w="1402" w:type="dxa"/>
          </w:tcPr>
          <w:p w14:paraId="456EB6F1">
            <w:pPr>
              <w:jc w:val="center"/>
              <w:rPr>
                <w:rFonts w:hint="eastAsia" w:ascii="楷体" w:hAnsi="楷体" w:eastAsia="楷体" w:cs="楷体"/>
                <w:b/>
                <w:bCs/>
                <w:sz w:val="21"/>
                <w:szCs w:val="21"/>
              </w:rPr>
            </w:pPr>
            <w:r>
              <w:rPr>
                <w:rFonts w:hint="eastAsia" w:ascii="楷体" w:hAnsi="楷体" w:eastAsia="楷体" w:cs="楷体"/>
                <w:b/>
                <w:bCs/>
                <w:sz w:val="21"/>
                <w:szCs w:val="21"/>
              </w:rPr>
              <w:t>课题</w:t>
            </w:r>
          </w:p>
        </w:tc>
        <w:tc>
          <w:tcPr>
            <w:tcW w:w="4169" w:type="dxa"/>
            <w:gridSpan w:val="3"/>
          </w:tcPr>
          <w:p w14:paraId="37318F0D">
            <w:pPr>
              <w:jc w:val="center"/>
              <w:rPr>
                <w:rFonts w:hint="eastAsia" w:ascii="楷体" w:hAnsi="楷体" w:eastAsia="楷体" w:cs="楷体"/>
                <w:b/>
                <w:bCs/>
                <w:sz w:val="21"/>
                <w:szCs w:val="21"/>
              </w:rPr>
            </w:pPr>
          </w:p>
        </w:tc>
      </w:tr>
      <w:tr w14:paraId="4931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tcPr>
          <w:p w14:paraId="41C4646F">
            <w:pPr>
              <w:jc w:val="center"/>
              <w:rPr>
                <w:rFonts w:hint="eastAsia" w:ascii="楷体" w:hAnsi="楷体" w:eastAsia="楷体" w:cs="楷体"/>
                <w:b/>
                <w:bCs/>
                <w:sz w:val="21"/>
                <w:szCs w:val="21"/>
              </w:rPr>
            </w:pPr>
            <w:r>
              <w:rPr>
                <w:rFonts w:hint="eastAsia" w:ascii="楷体" w:hAnsi="楷体" w:eastAsia="楷体" w:cs="楷体"/>
                <w:b/>
                <w:bCs/>
                <w:sz w:val="21"/>
                <w:szCs w:val="21"/>
              </w:rPr>
              <w:t>教学目标</w:t>
            </w:r>
          </w:p>
        </w:tc>
        <w:tc>
          <w:tcPr>
            <w:tcW w:w="2522" w:type="dxa"/>
            <w:gridSpan w:val="2"/>
          </w:tcPr>
          <w:p w14:paraId="1D4900DB">
            <w:pPr>
              <w:jc w:val="center"/>
              <w:rPr>
                <w:rFonts w:hint="eastAsia" w:ascii="楷体" w:hAnsi="楷体" w:eastAsia="楷体" w:cs="楷体"/>
                <w:b/>
                <w:bCs/>
                <w:sz w:val="21"/>
                <w:szCs w:val="21"/>
              </w:rPr>
            </w:pPr>
            <w:r>
              <w:rPr>
                <w:rFonts w:hint="eastAsia" w:ascii="楷体" w:hAnsi="楷体" w:eastAsia="楷体" w:cs="楷体"/>
                <w:b/>
                <w:bCs/>
                <w:sz w:val="21"/>
                <w:szCs w:val="21"/>
              </w:rPr>
              <w:t>学习任务与活动</w:t>
            </w:r>
          </w:p>
        </w:tc>
        <w:tc>
          <w:tcPr>
            <w:tcW w:w="1752" w:type="dxa"/>
          </w:tcPr>
          <w:p w14:paraId="75700FCB">
            <w:pPr>
              <w:jc w:val="center"/>
              <w:rPr>
                <w:rFonts w:hint="eastAsia" w:ascii="楷体" w:hAnsi="楷体" w:eastAsia="楷体" w:cs="楷体"/>
                <w:b/>
                <w:bCs/>
                <w:sz w:val="21"/>
                <w:szCs w:val="21"/>
              </w:rPr>
            </w:pPr>
            <w:r>
              <w:rPr>
                <w:rFonts w:hint="eastAsia" w:ascii="楷体" w:hAnsi="楷体" w:eastAsia="楷体" w:cs="楷体"/>
                <w:b/>
                <w:bCs/>
                <w:sz w:val="21"/>
                <w:szCs w:val="21"/>
              </w:rPr>
              <w:t>评价方法</w:t>
            </w:r>
          </w:p>
        </w:tc>
        <w:tc>
          <w:tcPr>
            <w:tcW w:w="2417" w:type="dxa"/>
            <w:gridSpan w:val="2"/>
          </w:tcPr>
          <w:p w14:paraId="299BEBBB">
            <w:pPr>
              <w:jc w:val="center"/>
              <w:rPr>
                <w:rFonts w:hint="eastAsia" w:ascii="楷体" w:hAnsi="楷体" w:eastAsia="楷体" w:cs="楷体"/>
                <w:b/>
                <w:bCs/>
                <w:sz w:val="21"/>
                <w:szCs w:val="21"/>
              </w:rPr>
            </w:pPr>
            <w:r>
              <w:rPr>
                <w:rFonts w:hint="eastAsia" w:ascii="楷体" w:hAnsi="楷体" w:eastAsia="楷体" w:cs="楷体"/>
                <w:b/>
                <w:bCs/>
                <w:sz w:val="21"/>
                <w:szCs w:val="21"/>
              </w:rPr>
              <w:t>评价结果</w:t>
            </w:r>
          </w:p>
        </w:tc>
      </w:tr>
      <w:tr w14:paraId="7D6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00987C18">
            <w:pPr>
              <w:jc w:val="center"/>
              <w:rPr>
                <w:rFonts w:hint="eastAsia" w:ascii="楷体" w:hAnsi="楷体" w:eastAsia="楷体" w:cs="楷体"/>
                <w:sz w:val="21"/>
                <w:szCs w:val="21"/>
              </w:rPr>
            </w:pPr>
          </w:p>
        </w:tc>
        <w:tc>
          <w:tcPr>
            <w:tcW w:w="2522" w:type="dxa"/>
            <w:gridSpan w:val="2"/>
            <w:vAlign w:val="center"/>
          </w:tcPr>
          <w:p w14:paraId="12AD745A">
            <w:pPr>
              <w:jc w:val="center"/>
              <w:rPr>
                <w:rFonts w:hint="eastAsia" w:ascii="楷体" w:hAnsi="楷体" w:eastAsia="楷体" w:cs="楷体"/>
                <w:sz w:val="21"/>
                <w:szCs w:val="21"/>
              </w:rPr>
            </w:pPr>
          </w:p>
        </w:tc>
        <w:tc>
          <w:tcPr>
            <w:tcW w:w="1752" w:type="dxa"/>
          </w:tcPr>
          <w:p w14:paraId="06B1FC3C">
            <w:pPr>
              <w:jc w:val="center"/>
              <w:rPr>
                <w:rFonts w:hint="eastAsia" w:ascii="楷体" w:hAnsi="楷体" w:eastAsia="楷体" w:cs="楷体"/>
                <w:sz w:val="21"/>
                <w:szCs w:val="21"/>
              </w:rPr>
            </w:pPr>
          </w:p>
        </w:tc>
        <w:tc>
          <w:tcPr>
            <w:tcW w:w="2417" w:type="dxa"/>
            <w:gridSpan w:val="2"/>
          </w:tcPr>
          <w:p w14:paraId="3DDF1033">
            <w:pPr>
              <w:jc w:val="center"/>
              <w:rPr>
                <w:rFonts w:hint="eastAsia" w:ascii="楷体" w:hAnsi="楷体" w:eastAsia="楷体" w:cs="楷体"/>
                <w:sz w:val="21"/>
                <w:szCs w:val="21"/>
              </w:rPr>
            </w:pPr>
          </w:p>
        </w:tc>
      </w:tr>
      <w:tr w14:paraId="7DE3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580B9B54">
            <w:pPr>
              <w:jc w:val="center"/>
              <w:rPr>
                <w:rFonts w:hint="eastAsia" w:ascii="楷体" w:hAnsi="楷体" w:eastAsia="楷体" w:cs="楷体"/>
                <w:sz w:val="21"/>
                <w:szCs w:val="21"/>
              </w:rPr>
            </w:pPr>
          </w:p>
        </w:tc>
        <w:tc>
          <w:tcPr>
            <w:tcW w:w="2522" w:type="dxa"/>
            <w:gridSpan w:val="2"/>
            <w:vAlign w:val="center"/>
          </w:tcPr>
          <w:p w14:paraId="71E4315D">
            <w:pPr>
              <w:jc w:val="center"/>
              <w:rPr>
                <w:rFonts w:hint="eastAsia" w:ascii="楷体" w:hAnsi="楷体" w:eastAsia="楷体" w:cs="楷体"/>
                <w:sz w:val="21"/>
                <w:szCs w:val="21"/>
              </w:rPr>
            </w:pPr>
          </w:p>
        </w:tc>
        <w:tc>
          <w:tcPr>
            <w:tcW w:w="1752" w:type="dxa"/>
          </w:tcPr>
          <w:p w14:paraId="68D9D4F7">
            <w:pPr>
              <w:jc w:val="center"/>
              <w:rPr>
                <w:rFonts w:hint="eastAsia" w:ascii="楷体" w:hAnsi="楷体" w:eastAsia="楷体" w:cs="楷体"/>
                <w:sz w:val="21"/>
                <w:szCs w:val="21"/>
              </w:rPr>
            </w:pPr>
          </w:p>
        </w:tc>
        <w:tc>
          <w:tcPr>
            <w:tcW w:w="2417" w:type="dxa"/>
            <w:gridSpan w:val="2"/>
          </w:tcPr>
          <w:p w14:paraId="63F00943">
            <w:pPr>
              <w:jc w:val="center"/>
              <w:rPr>
                <w:rFonts w:hint="eastAsia" w:ascii="楷体" w:hAnsi="楷体" w:eastAsia="楷体" w:cs="楷体"/>
                <w:sz w:val="21"/>
                <w:szCs w:val="21"/>
              </w:rPr>
            </w:pPr>
          </w:p>
        </w:tc>
      </w:tr>
    </w:tbl>
    <w:p w14:paraId="6788CFC3">
      <w:pPr>
        <w:ind w:firstLine="420" w:firstLineChars="200"/>
        <w:rPr>
          <w:rFonts w:hint="eastAsia"/>
          <w:b/>
          <w:lang w:val="en-US" w:eastAsia="zh-CN"/>
        </w:rPr>
      </w:pPr>
      <w:r>
        <w:rPr>
          <w:rFonts w:hint="eastAsia" w:ascii="楷体" w:hAnsi="楷体" w:eastAsia="楷体" w:cs="楷体"/>
          <w:sz w:val="21"/>
          <w:szCs w:val="21"/>
          <w:lang w:val="en-US" w:eastAsia="zh-CN"/>
        </w:rPr>
        <w:t xml:space="preserve"> </w:t>
      </w:r>
      <w:r>
        <w:rPr>
          <w:rFonts w:hint="eastAsia" w:asciiTheme="minorEastAsia" w:hAnsiTheme="minorEastAsia" w:eastAsiaTheme="minorEastAsia" w:cstheme="minorEastAsia"/>
          <w:lang w:val="en-US" w:eastAsia="zh-CN"/>
        </w:rPr>
        <w:t>3年研究下来，课题组</w:t>
      </w:r>
      <w:r>
        <w:rPr>
          <w:rFonts w:hint="eastAsia" w:asciiTheme="minorEastAsia" w:hAnsiTheme="minorEastAsia" w:cstheme="minorEastAsia"/>
          <w:lang w:val="en-US" w:eastAsia="zh-CN"/>
        </w:rPr>
        <w:t>已形成了“</w:t>
      </w:r>
      <w:r>
        <w:rPr>
          <w:rFonts w:hint="eastAsia" w:asciiTheme="minorEastAsia" w:hAnsiTheme="minorEastAsia" w:eastAsiaTheme="minorEastAsia" w:cstheme="minorEastAsia"/>
          <w:lang w:val="en-US" w:eastAsia="zh-CN"/>
        </w:rPr>
        <w:t>学科核心素养导向下的初中化学单元教学实践研究</w:t>
      </w:r>
      <w:r>
        <w:rPr>
          <w:rFonts w:hint="eastAsia" w:asciiTheme="minorEastAsia" w:hAnsiTheme="minorEastAsia" w:cstheme="minorEastAsia"/>
          <w:lang w:val="en-US" w:eastAsia="zh-CN"/>
        </w:rPr>
        <w:t>”的方法和路径（见附件3）</w:t>
      </w:r>
      <w:r>
        <w:rPr>
          <w:rFonts w:hint="eastAsia" w:asciiTheme="minorEastAsia" w:hAnsiTheme="minorEastAsia" w:cstheme="minorEastAsia"/>
          <w:b w:val="0"/>
          <w:bCs w:val="0"/>
          <w:lang w:val="en-US" w:eastAsia="zh-CN"/>
        </w:rPr>
        <w:t>，</w:t>
      </w:r>
      <w:r>
        <w:rPr>
          <w:rFonts w:hint="eastAsia" w:ascii="宋体" w:hAnsi="宋体"/>
          <w:b w:val="0"/>
          <w:bCs w:val="0"/>
          <w:szCs w:val="21"/>
        </w:rPr>
        <w:t>为其他课程或学段开展基于</w:t>
      </w:r>
      <w:r>
        <w:rPr>
          <w:rFonts w:hint="eastAsia" w:asciiTheme="minorEastAsia" w:hAnsiTheme="minorEastAsia" w:eastAsiaTheme="minorEastAsia" w:cstheme="minorEastAsia"/>
          <w:lang w:val="en-US" w:eastAsia="zh-CN"/>
        </w:rPr>
        <w:t>核心</w:t>
      </w:r>
      <w:r>
        <w:rPr>
          <w:rFonts w:hint="eastAsia" w:ascii="宋体" w:hAnsi="宋体"/>
          <w:b w:val="0"/>
          <w:bCs w:val="0"/>
          <w:szCs w:val="21"/>
        </w:rPr>
        <w:t>素养发展的单元教学研究提供</w:t>
      </w:r>
      <w:r>
        <w:rPr>
          <w:rFonts w:hint="eastAsia" w:ascii="宋体" w:hAnsi="宋体"/>
          <w:b w:val="0"/>
          <w:bCs w:val="0"/>
          <w:szCs w:val="21"/>
          <w:lang w:val="en-US" w:eastAsia="zh-CN"/>
        </w:rPr>
        <w:t>了</w:t>
      </w:r>
      <w:r>
        <w:rPr>
          <w:rFonts w:hint="eastAsia" w:ascii="宋体" w:hAnsi="宋体"/>
          <w:b w:val="0"/>
          <w:bCs w:val="0"/>
          <w:szCs w:val="21"/>
        </w:rPr>
        <w:t>参照</w:t>
      </w:r>
      <w:r>
        <w:rPr>
          <w:rFonts w:hint="eastAsia" w:asciiTheme="minorEastAsia" w:hAnsiTheme="minorEastAsia" w:cstheme="minorEastAsia"/>
          <w:b w:val="0"/>
          <w:bCs w:val="0"/>
          <w:lang w:val="en-US" w:eastAsia="zh-CN"/>
        </w:rPr>
        <w:t>。</w:t>
      </w:r>
    </w:p>
    <w:p w14:paraId="25698F3F">
      <w:pPr>
        <w:ind w:firstLine="420" w:firstLineChars="200"/>
        <w:rPr>
          <w:b/>
        </w:rPr>
      </w:pPr>
      <w:r>
        <w:rPr>
          <w:rFonts w:hint="eastAsia"/>
          <w:b/>
          <w:lang w:val="en-US" w:eastAsia="zh-CN"/>
        </w:rPr>
        <w:t>3</w:t>
      </w:r>
      <w:r>
        <w:rPr>
          <w:rFonts w:hint="eastAsia"/>
          <w:b/>
        </w:rPr>
        <w:t>.</w:t>
      </w:r>
      <w:r>
        <w:rPr>
          <w:rFonts w:hint="eastAsia"/>
          <w:b/>
          <w:bCs/>
        </w:rPr>
        <w:t>化学课标核心素养导向下的初中化学单元教学实践的</w:t>
      </w:r>
      <w:r>
        <w:rPr>
          <w:rFonts w:hint="eastAsia"/>
          <w:b/>
          <w:bCs/>
          <w:lang w:val="en-US" w:eastAsia="zh-CN"/>
        </w:rPr>
        <w:t>课例</w:t>
      </w:r>
      <w:r>
        <w:rPr>
          <w:rFonts w:hint="eastAsia"/>
          <w:b/>
          <w:bCs/>
        </w:rPr>
        <w:t>研究</w:t>
      </w:r>
    </w:p>
    <w:p w14:paraId="722A223E">
      <w:pPr>
        <w:ind w:firstLine="420"/>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eastAsia="zh-CN"/>
        </w:rPr>
        <w:t>（</w:t>
      </w:r>
      <w:r>
        <w:rPr>
          <w:rFonts w:hint="eastAsia" w:asciiTheme="minorEastAsia" w:hAnsiTheme="minorEastAsia" w:eastAsiaTheme="minorEastAsia" w:cstheme="minorEastAsia"/>
          <w:b/>
          <w:bCs/>
          <w:lang w:val="en-US" w:eastAsia="zh-CN"/>
        </w:rPr>
        <w:t>1</w:t>
      </w:r>
      <w:r>
        <w:rPr>
          <w:rFonts w:hint="eastAsia" w:asciiTheme="minorEastAsia" w:hAnsiTheme="minorEastAsia" w:eastAsiaTheme="minorEastAsia" w:cstheme="minorEastAsia"/>
          <w:b/>
          <w:bCs/>
          <w:lang w:eastAsia="zh-CN"/>
        </w:rPr>
        <w:t>）</w:t>
      </w:r>
      <w:r>
        <w:rPr>
          <w:rFonts w:hint="eastAsia" w:asciiTheme="minorEastAsia" w:hAnsiTheme="minorEastAsia" w:eastAsiaTheme="minorEastAsia" w:cstheme="minorEastAsia"/>
          <w:b/>
          <w:bCs/>
        </w:rPr>
        <w:t>实践研究活动</w:t>
      </w:r>
    </w:p>
    <w:p w14:paraId="0BE48603">
      <w:pPr>
        <w:ind w:firstLine="420"/>
      </w:pPr>
      <w:r>
        <w:rPr>
          <w:rFonts w:hint="eastAsia"/>
        </w:rPr>
        <w:t>从2022年9月至今，课题组认真开展了十六次活动，第一学年八次如图（</w:t>
      </w:r>
      <w:r>
        <w:rPr>
          <w:rFonts w:hint="eastAsia" w:ascii="楷体" w:hAnsi="楷体" w:eastAsia="楷体"/>
        </w:rPr>
        <w:t>图</w:t>
      </w:r>
      <w:r>
        <w:rPr>
          <w:rFonts w:ascii="楷体" w:hAnsi="楷体" w:eastAsia="楷体"/>
        </w:rPr>
        <w:t>9</w:t>
      </w:r>
      <w:r>
        <w:rPr>
          <w:rFonts w:hint="eastAsia" w:ascii="楷体" w:hAnsi="楷体" w:eastAsia="楷体"/>
        </w:rPr>
        <w:t>～图1</w:t>
      </w:r>
      <w:r>
        <w:rPr>
          <w:rFonts w:ascii="楷体" w:hAnsi="楷体" w:eastAsia="楷体"/>
        </w:rPr>
        <w:t>6</w:t>
      </w:r>
      <w:r>
        <w:rPr>
          <w:rFonts w:hint="eastAsia"/>
        </w:rPr>
        <w:t>）。每次活动的流程主要分为三个环节：第一，围绕单元内容，各主题组组长安排教师上课，组内其他成员听课后进行评课交流；第二，由各主题组组长负责解读制定的单元教学实施纲要；第三，全组成员讨论纲要修改意见并定稿，课题主持人布置下一次活动任务。</w:t>
      </w:r>
    </w:p>
    <w:p w14:paraId="148A7015">
      <w:r>
        <w:drawing>
          <wp:inline distT="0" distB="0" distL="114300" distR="114300">
            <wp:extent cx="2592070" cy="1936115"/>
            <wp:effectExtent l="0" t="0" r="1778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2592070" cy="1936115"/>
                    </a:xfrm>
                    <a:prstGeom prst="rect">
                      <a:avLst/>
                    </a:prstGeom>
                  </pic:spPr>
                </pic:pic>
              </a:graphicData>
            </a:graphic>
          </wp:inline>
        </w:drawing>
      </w:r>
      <w:r>
        <w:t xml:space="preserve">  </w:t>
      </w:r>
      <w:r>
        <w:drawing>
          <wp:inline distT="0" distB="0" distL="114300" distR="114300">
            <wp:extent cx="2486660" cy="1921510"/>
            <wp:effectExtent l="0" t="0" r="8890" b="2540"/>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18"/>
                    <a:stretch>
                      <a:fillRect/>
                    </a:stretch>
                  </pic:blipFill>
                  <pic:spPr>
                    <a:xfrm>
                      <a:off x="0" y="0"/>
                      <a:ext cx="2505903" cy="1936370"/>
                    </a:xfrm>
                    <a:prstGeom prst="rect">
                      <a:avLst/>
                    </a:prstGeom>
                  </pic:spPr>
                </pic:pic>
              </a:graphicData>
            </a:graphic>
          </wp:inline>
        </w:drawing>
      </w:r>
      <w:r>
        <w:rPr>
          <w:rFonts w:hint="eastAsia"/>
        </w:rPr>
        <w:t xml:space="preserve">  </w:t>
      </w:r>
    </w:p>
    <w:p w14:paraId="13268E4F">
      <w:pPr>
        <w:jc w:val="center"/>
      </w:pPr>
      <w:r>
        <w:rPr>
          <w:rFonts w:hint="eastAsia" w:ascii="楷体" w:hAnsi="楷体" w:eastAsia="楷体"/>
        </w:rPr>
        <w:t>图</w:t>
      </w:r>
      <w:r>
        <w:rPr>
          <w:rFonts w:hint="eastAsia" w:ascii="楷体" w:hAnsi="楷体" w:eastAsia="楷体"/>
          <w:lang w:val="en-US" w:eastAsia="zh-CN"/>
        </w:rPr>
        <w:t>12</w:t>
      </w:r>
      <w:r>
        <w:rPr>
          <w:rFonts w:hint="eastAsia" w:ascii="楷体" w:hAnsi="楷体" w:eastAsia="楷体"/>
        </w:rPr>
        <w:t xml:space="preserve"> 第一次活动                             图</w:t>
      </w:r>
      <w:r>
        <w:rPr>
          <w:rFonts w:ascii="楷体" w:hAnsi="楷体" w:eastAsia="楷体"/>
        </w:rPr>
        <w:t>1</w:t>
      </w:r>
      <w:r>
        <w:rPr>
          <w:rFonts w:hint="eastAsia" w:ascii="楷体" w:hAnsi="楷体" w:eastAsia="楷体"/>
          <w:lang w:val="en-US" w:eastAsia="zh-CN"/>
        </w:rPr>
        <w:t>3</w:t>
      </w:r>
      <w:r>
        <w:rPr>
          <w:rFonts w:hint="eastAsia" w:ascii="楷体" w:hAnsi="楷体" w:eastAsia="楷体"/>
        </w:rPr>
        <w:t xml:space="preserve"> 第二次活动</w:t>
      </w:r>
    </w:p>
    <w:p w14:paraId="23AD56A8">
      <w:r>
        <w:drawing>
          <wp:inline distT="0" distB="0" distL="114300" distR="114300">
            <wp:extent cx="2604135" cy="2259330"/>
            <wp:effectExtent l="0" t="0" r="5715"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2616412" cy="2270293"/>
                    </a:xfrm>
                    <a:prstGeom prst="rect">
                      <a:avLst/>
                    </a:prstGeom>
                  </pic:spPr>
                </pic:pic>
              </a:graphicData>
            </a:graphic>
          </wp:inline>
        </w:drawing>
      </w:r>
      <w:r>
        <w:t xml:space="preserve"> </w:t>
      </w:r>
      <w:r>
        <w:drawing>
          <wp:inline distT="0" distB="0" distL="114300" distR="114300">
            <wp:extent cx="2583815" cy="2301875"/>
            <wp:effectExtent l="0" t="0" r="6985"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2592609" cy="2309976"/>
                    </a:xfrm>
                    <a:prstGeom prst="rect">
                      <a:avLst/>
                    </a:prstGeom>
                  </pic:spPr>
                </pic:pic>
              </a:graphicData>
            </a:graphic>
          </wp:inline>
        </w:drawing>
      </w:r>
      <w:r>
        <w:rPr>
          <w:rFonts w:hint="eastAsia"/>
        </w:rPr>
        <w:t xml:space="preserve">  </w:t>
      </w:r>
    </w:p>
    <w:p w14:paraId="65E277FC">
      <w:pPr>
        <w:jc w:val="center"/>
        <w:rPr>
          <w:rFonts w:ascii="楷体" w:hAnsi="楷体" w:eastAsia="楷体"/>
        </w:rPr>
      </w:pPr>
      <w:r>
        <w:rPr>
          <w:rFonts w:hint="eastAsia" w:ascii="楷体" w:hAnsi="楷体" w:eastAsia="楷体"/>
        </w:rPr>
        <w:t>图</w:t>
      </w:r>
      <w:r>
        <w:rPr>
          <w:rFonts w:ascii="楷体" w:hAnsi="楷体" w:eastAsia="楷体"/>
        </w:rPr>
        <w:t>1</w:t>
      </w:r>
      <w:r>
        <w:rPr>
          <w:rFonts w:hint="eastAsia" w:ascii="楷体" w:hAnsi="楷体" w:eastAsia="楷体"/>
          <w:lang w:val="en-US" w:eastAsia="zh-CN"/>
        </w:rPr>
        <w:t>4</w:t>
      </w:r>
      <w:r>
        <w:rPr>
          <w:rFonts w:hint="eastAsia" w:ascii="楷体" w:hAnsi="楷体" w:eastAsia="楷体"/>
        </w:rPr>
        <w:t xml:space="preserve"> 第三次活动                         图1</w:t>
      </w:r>
      <w:r>
        <w:rPr>
          <w:rFonts w:hint="eastAsia" w:ascii="楷体" w:hAnsi="楷体" w:eastAsia="楷体"/>
          <w:lang w:val="en-US" w:eastAsia="zh-CN"/>
        </w:rPr>
        <w:t>5</w:t>
      </w:r>
      <w:r>
        <w:rPr>
          <w:rFonts w:hint="eastAsia" w:ascii="楷体" w:hAnsi="楷体" w:eastAsia="楷体"/>
        </w:rPr>
        <w:t xml:space="preserve"> 第四次活动</w:t>
      </w:r>
    </w:p>
    <w:p w14:paraId="37880903">
      <w:r>
        <w:drawing>
          <wp:inline distT="0" distB="0" distL="114300" distR="114300">
            <wp:extent cx="2592070" cy="1936750"/>
            <wp:effectExtent l="0" t="0" r="17780" b="6350"/>
            <wp:docPr id="14" name="图片 7"/>
            <wp:cNvGraphicFramePr/>
            <a:graphic xmlns:a="http://schemas.openxmlformats.org/drawingml/2006/main">
              <a:graphicData uri="http://schemas.openxmlformats.org/drawingml/2006/picture">
                <pic:pic xmlns:pic="http://schemas.openxmlformats.org/drawingml/2006/picture">
                  <pic:nvPicPr>
                    <pic:cNvPr id="14" name="图片 7"/>
                    <pic:cNvPicPr/>
                  </pic:nvPicPr>
                  <pic:blipFill>
                    <a:blip r:embed="rId21"/>
                    <a:stretch>
                      <a:fillRect/>
                    </a:stretch>
                  </pic:blipFill>
                  <pic:spPr>
                    <a:xfrm>
                      <a:off x="0" y="0"/>
                      <a:ext cx="2592070" cy="1936750"/>
                    </a:xfrm>
                    <a:prstGeom prst="rect">
                      <a:avLst/>
                    </a:prstGeom>
                  </pic:spPr>
                </pic:pic>
              </a:graphicData>
            </a:graphic>
          </wp:inline>
        </w:drawing>
      </w:r>
      <w:r>
        <w:drawing>
          <wp:inline distT="0" distB="0" distL="114300" distR="114300">
            <wp:extent cx="2592070" cy="1936750"/>
            <wp:effectExtent l="0" t="0" r="17780" b="6350"/>
            <wp:docPr id="15" name="图片 8"/>
            <wp:cNvGraphicFramePr/>
            <a:graphic xmlns:a="http://schemas.openxmlformats.org/drawingml/2006/main">
              <a:graphicData uri="http://schemas.openxmlformats.org/drawingml/2006/picture">
                <pic:pic xmlns:pic="http://schemas.openxmlformats.org/drawingml/2006/picture">
                  <pic:nvPicPr>
                    <pic:cNvPr id="15" name="图片 8"/>
                    <pic:cNvPicPr/>
                  </pic:nvPicPr>
                  <pic:blipFill>
                    <a:blip r:embed="rId22"/>
                    <a:stretch>
                      <a:fillRect/>
                    </a:stretch>
                  </pic:blipFill>
                  <pic:spPr>
                    <a:xfrm>
                      <a:off x="0" y="0"/>
                      <a:ext cx="2592070" cy="1936750"/>
                    </a:xfrm>
                    <a:prstGeom prst="rect">
                      <a:avLst/>
                    </a:prstGeom>
                  </pic:spPr>
                </pic:pic>
              </a:graphicData>
            </a:graphic>
          </wp:inline>
        </w:drawing>
      </w:r>
      <w:r>
        <w:rPr>
          <w:rFonts w:hint="eastAsia"/>
        </w:rPr>
        <w:t xml:space="preserve">  </w:t>
      </w:r>
    </w:p>
    <w:p w14:paraId="00E6A9FC">
      <w:pPr>
        <w:ind w:firstLine="1260" w:firstLineChars="600"/>
      </w:pPr>
      <w:r>
        <w:rPr>
          <w:rFonts w:hint="eastAsia" w:ascii="楷体" w:hAnsi="楷体" w:eastAsia="楷体"/>
        </w:rPr>
        <w:t>图1</w:t>
      </w:r>
      <w:r>
        <w:rPr>
          <w:rFonts w:hint="eastAsia" w:ascii="楷体" w:hAnsi="楷体" w:eastAsia="楷体"/>
          <w:lang w:val="en-US" w:eastAsia="zh-CN"/>
        </w:rPr>
        <w:t>6</w:t>
      </w:r>
      <w:r>
        <w:rPr>
          <w:rFonts w:hint="eastAsia" w:ascii="楷体" w:hAnsi="楷体" w:eastAsia="楷体"/>
        </w:rPr>
        <w:t xml:space="preserve"> 第五次活动                        图1</w:t>
      </w:r>
      <w:r>
        <w:rPr>
          <w:rFonts w:hint="eastAsia" w:ascii="楷体" w:hAnsi="楷体" w:eastAsia="楷体"/>
          <w:lang w:val="en-US" w:eastAsia="zh-CN"/>
        </w:rPr>
        <w:t>7</w:t>
      </w:r>
      <w:r>
        <w:rPr>
          <w:rFonts w:hint="eastAsia" w:ascii="楷体" w:hAnsi="楷体" w:eastAsia="楷体"/>
        </w:rPr>
        <w:t xml:space="preserve"> 第六次活动</w:t>
      </w:r>
    </w:p>
    <w:p w14:paraId="6EE6B13F">
      <w:r>
        <w:drawing>
          <wp:inline distT="0" distB="0" distL="114300" distR="114300">
            <wp:extent cx="2508885" cy="1901825"/>
            <wp:effectExtent l="0" t="0" r="5715" b="3175"/>
            <wp:docPr id="16" name="图片 9"/>
            <wp:cNvGraphicFramePr/>
            <a:graphic xmlns:a="http://schemas.openxmlformats.org/drawingml/2006/main">
              <a:graphicData uri="http://schemas.openxmlformats.org/drawingml/2006/picture">
                <pic:pic xmlns:pic="http://schemas.openxmlformats.org/drawingml/2006/picture">
                  <pic:nvPicPr>
                    <pic:cNvPr id="16" name="图片 9"/>
                    <pic:cNvPicPr/>
                  </pic:nvPicPr>
                  <pic:blipFill>
                    <a:blip r:embed="rId23"/>
                    <a:stretch>
                      <a:fillRect/>
                    </a:stretch>
                  </pic:blipFill>
                  <pic:spPr>
                    <a:xfrm>
                      <a:off x="0" y="0"/>
                      <a:ext cx="2510196" cy="1902772"/>
                    </a:xfrm>
                    <a:prstGeom prst="rect">
                      <a:avLst/>
                    </a:prstGeom>
                  </pic:spPr>
                </pic:pic>
              </a:graphicData>
            </a:graphic>
          </wp:inline>
        </w:drawing>
      </w:r>
      <w:r>
        <w:rPr>
          <w:rFonts w:hint="eastAsia"/>
        </w:rPr>
        <w:t xml:space="preserve">  </w:t>
      </w:r>
      <w:r>
        <w:drawing>
          <wp:inline distT="0" distB="0" distL="114300" distR="114300">
            <wp:extent cx="2530475" cy="1916430"/>
            <wp:effectExtent l="0" t="0" r="3175" b="7620"/>
            <wp:docPr id="17" name="图片 10"/>
            <wp:cNvGraphicFramePr/>
            <a:graphic xmlns:a="http://schemas.openxmlformats.org/drawingml/2006/main">
              <a:graphicData uri="http://schemas.openxmlformats.org/drawingml/2006/picture">
                <pic:pic xmlns:pic="http://schemas.openxmlformats.org/drawingml/2006/picture">
                  <pic:nvPicPr>
                    <pic:cNvPr id="17" name="图片 10"/>
                    <pic:cNvPicPr/>
                  </pic:nvPicPr>
                  <pic:blipFill>
                    <a:blip r:embed="rId24"/>
                    <a:stretch>
                      <a:fillRect/>
                    </a:stretch>
                  </pic:blipFill>
                  <pic:spPr>
                    <a:xfrm>
                      <a:off x="0" y="0"/>
                      <a:ext cx="2544536" cy="1927232"/>
                    </a:xfrm>
                    <a:prstGeom prst="rect">
                      <a:avLst/>
                    </a:prstGeom>
                  </pic:spPr>
                </pic:pic>
              </a:graphicData>
            </a:graphic>
          </wp:inline>
        </w:drawing>
      </w:r>
    </w:p>
    <w:p w14:paraId="534A2453">
      <w:pPr>
        <w:ind w:firstLine="1260" w:firstLineChars="600"/>
        <w:rPr>
          <w:rFonts w:ascii="楷体" w:hAnsi="楷体" w:eastAsia="楷体"/>
        </w:rPr>
      </w:pPr>
      <w:r>
        <w:rPr>
          <w:rFonts w:hint="eastAsia" w:ascii="楷体" w:hAnsi="楷体" w:eastAsia="楷体"/>
        </w:rPr>
        <w:t>图1</w:t>
      </w:r>
      <w:r>
        <w:rPr>
          <w:rFonts w:hint="eastAsia" w:ascii="楷体" w:hAnsi="楷体" w:eastAsia="楷体"/>
          <w:lang w:val="en-US" w:eastAsia="zh-CN"/>
        </w:rPr>
        <w:t>8</w:t>
      </w:r>
      <w:r>
        <w:rPr>
          <w:rFonts w:hint="eastAsia" w:ascii="楷体" w:hAnsi="楷体" w:eastAsia="楷体"/>
        </w:rPr>
        <w:t xml:space="preserve"> 第七次活动                          图1</w:t>
      </w:r>
      <w:r>
        <w:rPr>
          <w:rFonts w:hint="eastAsia" w:ascii="楷体" w:hAnsi="楷体" w:eastAsia="楷体"/>
          <w:lang w:val="en-US" w:eastAsia="zh-CN"/>
        </w:rPr>
        <w:t>9</w:t>
      </w:r>
      <w:r>
        <w:rPr>
          <w:rFonts w:hint="eastAsia" w:ascii="楷体" w:hAnsi="楷体" w:eastAsia="楷体"/>
        </w:rPr>
        <w:t xml:space="preserve"> 第八次活动</w:t>
      </w:r>
    </w:p>
    <w:p w14:paraId="684927D2">
      <w:pPr>
        <w:ind w:firstLine="420"/>
        <w:rPr>
          <w:rFonts w:hint="eastAsia"/>
        </w:rPr>
      </w:pPr>
      <w:r>
        <w:rPr>
          <w:rFonts w:hint="eastAsia"/>
        </w:rPr>
        <w:t>研究活动过程中，课题组面向初中化学教师开展了“大概念统领下的初三化学单元教学现状”问卷调查（见附件</w:t>
      </w:r>
      <w:r>
        <w:rPr>
          <w:rFonts w:hint="eastAsia"/>
          <w:lang w:val="en-US" w:eastAsia="zh-CN"/>
        </w:rPr>
        <w:t>4</w:t>
      </w:r>
      <w:r>
        <w:rPr>
          <w:rFonts w:hint="eastAsia"/>
        </w:rPr>
        <w:t>）。</w:t>
      </w:r>
    </w:p>
    <w:p w14:paraId="3CB57DDC">
      <w:pPr>
        <w:ind w:firstLine="420"/>
        <w:rPr>
          <w:rFonts w:hint="eastAsia"/>
        </w:rPr>
      </w:pPr>
      <w:r>
        <w:rPr>
          <w:rFonts w:hint="eastAsia" w:asciiTheme="minorEastAsia" w:hAnsiTheme="minorEastAsia" w:eastAsiaTheme="minorEastAsia" w:cstheme="minorEastAsia"/>
          <w:b/>
          <w:bCs/>
          <w:lang w:eastAsia="zh-CN"/>
        </w:rPr>
        <w:t>（</w:t>
      </w:r>
      <w:r>
        <w:rPr>
          <w:rFonts w:hint="eastAsia" w:asciiTheme="minorEastAsia" w:hAnsiTheme="minorEastAsia" w:cstheme="minorEastAsia"/>
          <w:b/>
          <w:bCs/>
          <w:lang w:val="en-US" w:eastAsia="zh-CN"/>
        </w:rPr>
        <w:t>2</w:t>
      </w:r>
      <w:r>
        <w:rPr>
          <w:rFonts w:hint="eastAsia" w:asciiTheme="minorEastAsia" w:hAnsiTheme="minorEastAsia" w:eastAsiaTheme="minorEastAsia" w:cstheme="minorEastAsia"/>
          <w:b/>
          <w:bCs/>
          <w:lang w:eastAsia="zh-CN"/>
        </w:rPr>
        <w:t>）</w:t>
      </w:r>
      <w:r>
        <w:rPr>
          <w:rFonts w:hint="eastAsia" w:asciiTheme="minorEastAsia" w:hAnsiTheme="minorEastAsia" w:cstheme="minorEastAsia"/>
          <w:b/>
          <w:bCs/>
          <w:lang w:val="en-US" w:eastAsia="zh-CN"/>
        </w:rPr>
        <w:t>课例研究列举</w:t>
      </w:r>
    </w:p>
    <w:p w14:paraId="4A631798">
      <w:pPr>
        <w:ind w:firstLine="420"/>
      </w:pPr>
      <w:r>
        <w:rPr>
          <w:rFonts w:hint="eastAsia"/>
        </w:rPr>
        <w:t>2</w:t>
      </w:r>
      <w:r>
        <w:t>024</w:t>
      </w:r>
      <w:r>
        <w:rPr>
          <w:rFonts w:hint="eastAsia"/>
        </w:rPr>
        <w:t>年1</w:t>
      </w:r>
      <w:r>
        <w:t>2</w:t>
      </w:r>
      <w:r>
        <w:rPr>
          <w:rFonts w:hint="eastAsia"/>
        </w:rPr>
        <w:t>月3</w:t>
      </w:r>
      <w:r>
        <w:t>-5</w:t>
      </w:r>
      <w:r>
        <w:rPr>
          <w:rFonts w:hint="eastAsia"/>
        </w:rPr>
        <w:t>日，课题组第1组组长横山桥初级中学俞银龙副校长在江苏省第1</w:t>
      </w:r>
      <w:r>
        <w:t>1</w:t>
      </w:r>
      <w:r>
        <w:rPr>
          <w:rFonts w:hint="eastAsia"/>
        </w:rPr>
        <w:t>届中学化学名师高级研修暨省学会学术年会上进行了省级公开课展示，获得一致好评。</w:t>
      </w:r>
    </w:p>
    <w:p w14:paraId="5E27D043">
      <w:pPr>
        <w:jc w:val="center"/>
      </w:pPr>
      <w:r>
        <w:drawing>
          <wp:inline distT="0" distB="0" distL="0" distR="0">
            <wp:extent cx="2430780" cy="855345"/>
            <wp:effectExtent l="0" t="0" r="762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2470908" cy="869846"/>
                    </a:xfrm>
                    <a:prstGeom prst="rect">
                      <a:avLst/>
                    </a:prstGeom>
                  </pic:spPr>
                </pic:pic>
              </a:graphicData>
            </a:graphic>
          </wp:inline>
        </w:drawing>
      </w:r>
      <w:r>
        <w:rPr>
          <w:rFonts w:hint="eastAsia"/>
          <w:lang w:val="en-US" w:eastAsia="zh-CN"/>
        </w:rPr>
        <w:t xml:space="preserve">   </w:t>
      </w:r>
      <w:r>
        <w:drawing>
          <wp:inline distT="0" distB="0" distL="0" distR="0">
            <wp:extent cx="2120900" cy="8667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2189656" cy="894737"/>
                    </a:xfrm>
                    <a:prstGeom prst="rect">
                      <a:avLst/>
                    </a:prstGeom>
                  </pic:spPr>
                </pic:pic>
              </a:graphicData>
            </a:graphic>
          </wp:inline>
        </w:drawing>
      </w:r>
    </w:p>
    <w:p w14:paraId="0F5B6715">
      <w:pPr>
        <w:jc w:val="left"/>
        <w:rPr>
          <w:szCs w:val="21"/>
        </w:rPr>
      </w:pPr>
      <w:r>
        <w:rPr>
          <w:rFonts w:hint="eastAsia"/>
          <w:b/>
          <w:szCs w:val="21"/>
        </w:rPr>
        <w:t>案例1</w:t>
      </w:r>
      <w:r>
        <w:rPr>
          <w:rFonts w:hint="eastAsia"/>
          <w:b/>
          <w:szCs w:val="21"/>
          <w:lang w:val="en-US" w:eastAsia="zh-CN"/>
        </w:rPr>
        <w:t xml:space="preserve">  </w:t>
      </w:r>
      <w:r>
        <w:rPr>
          <w:rFonts w:hint="eastAsia"/>
          <w:b/>
          <w:szCs w:val="21"/>
        </w:rPr>
        <w:t>俞银龙老师的基于</w:t>
      </w:r>
      <w:r>
        <w:rPr>
          <w:rFonts w:hint="eastAsia"/>
          <w:b/>
        </w:rPr>
        <w:t>核心素养导向下的初中化学单元教学实践的教学设计</w:t>
      </w:r>
    </w:p>
    <w:p w14:paraId="3ECD76E9">
      <w:pPr>
        <w:widowControl/>
        <w:spacing w:line="360" w:lineRule="exact"/>
        <w:jc w:val="center"/>
        <w:rPr>
          <w:rFonts w:ascii="黑体" w:hAnsi="黑体" w:eastAsia="黑体" w:cs="黑体"/>
          <w:b/>
          <w:bCs/>
          <w:color w:val="000000"/>
          <w:szCs w:val="21"/>
        </w:rPr>
      </w:pPr>
      <w:r>
        <w:rPr>
          <w:rFonts w:hint="eastAsia" w:ascii="黑体" w:hAnsi="黑体" w:eastAsia="黑体" w:cs="黑体"/>
          <w:b/>
          <w:bCs/>
          <w:color w:val="000000"/>
          <w:kern w:val="0"/>
          <w:szCs w:val="21"/>
          <w:lang w:bidi="ar"/>
        </w:rPr>
        <w:t>《物质构成的奥秘》复习</w:t>
      </w:r>
    </w:p>
    <w:p w14:paraId="5D36B00A">
      <w:pPr>
        <w:widowControl/>
        <w:spacing w:line="360" w:lineRule="exact"/>
        <w:jc w:val="center"/>
        <w:rPr>
          <w:rFonts w:ascii="楷体" w:hAnsi="楷体" w:eastAsia="楷体" w:cs="楷体"/>
          <w:color w:val="000000"/>
          <w:kern w:val="0"/>
          <w:szCs w:val="21"/>
          <w:lang w:bidi="ar"/>
        </w:rPr>
      </w:pPr>
      <w:r>
        <w:rPr>
          <w:rFonts w:hint="eastAsia" w:ascii="楷体" w:hAnsi="楷体" w:eastAsia="楷体" w:cs="楷体"/>
          <w:color w:val="000000"/>
          <w:kern w:val="0"/>
          <w:szCs w:val="21"/>
          <w:lang w:bidi="ar"/>
        </w:rPr>
        <w:t>——以“尿素的合成”为例</w:t>
      </w:r>
    </w:p>
    <w:p w14:paraId="07B0F0C1">
      <w:pPr>
        <w:widowControl/>
        <w:spacing w:line="360" w:lineRule="exact"/>
        <w:jc w:val="center"/>
        <w:rPr>
          <w:rFonts w:ascii="楷体" w:hAnsi="楷体" w:eastAsia="楷体" w:cs="楷体"/>
          <w:b w:val="0"/>
          <w:bCs w:val="0"/>
          <w:color w:val="000000"/>
          <w:kern w:val="0"/>
          <w:szCs w:val="21"/>
          <w:lang w:bidi="ar"/>
        </w:rPr>
      </w:pPr>
      <w:r>
        <w:rPr>
          <w:rFonts w:hint="eastAsia" w:ascii="楷体" w:hAnsi="楷体" w:eastAsia="楷体" w:cs="楷体"/>
          <w:b w:val="0"/>
          <w:bCs w:val="0"/>
          <w:color w:val="000000"/>
          <w:kern w:val="0"/>
          <w:szCs w:val="21"/>
          <w:lang w:bidi="ar"/>
        </w:rPr>
        <w:t>常州市武进区横山桥初级中学</w:t>
      </w:r>
      <w:r>
        <w:rPr>
          <w:rFonts w:hint="eastAsia" w:ascii="楷体" w:hAnsi="楷体" w:eastAsia="楷体" w:cs="楷体"/>
          <w:b w:val="0"/>
          <w:bCs w:val="0"/>
          <w:color w:val="000000"/>
          <w:kern w:val="0"/>
          <w:szCs w:val="21"/>
          <w:lang w:val="en-US" w:eastAsia="zh-CN" w:bidi="ar"/>
        </w:rPr>
        <w:t xml:space="preserve">  </w:t>
      </w:r>
      <w:r>
        <w:rPr>
          <w:rFonts w:hint="eastAsia" w:ascii="楷体" w:hAnsi="楷体" w:eastAsia="楷体" w:cs="楷体"/>
          <w:b w:val="0"/>
          <w:bCs w:val="0"/>
          <w:color w:val="000000"/>
          <w:kern w:val="0"/>
          <w:szCs w:val="21"/>
          <w:lang w:bidi="ar"/>
        </w:rPr>
        <w:t>俞银龙</w:t>
      </w:r>
    </w:p>
    <w:p w14:paraId="7DB1E1C7">
      <w:pPr>
        <w:widowControl/>
        <w:spacing w:line="360" w:lineRule="exact"/>
        <w:jc w:val="center"/>
        <w:rPr>
          <w:rFonts w:ascii="楷体" w:hAnsi="楷体" w:eastAsia="楷体" w:cs="楷体"/>
          <w:b/>
          <w:bCs/>
          <w:color w:val="000000"/>
          <w:kern w:val="0"/>
          <w:szCs w:val="21"/>
          <w:lang w:bidi="ar"/>
        </w:rPr>
      </w:pPr>
    </w:p>
    <w:p w14:paraId="42023C53">
      <w:pPr>
        <w:widowControl/>
        <w:spacing w:line="360" w:lineRule="exact"/>
        <w:jc w:val="left"/>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一、课程标准和教材分析</w:t>
      </w:r>
    </w:p>
    <w:p w14:paraId="7DBEB202">
      <w:pPr>
        <w:ind w:firstLine="420"/>
      </w:pPr>
      <w:r>
        <w:t>《义务教育化学课程标准（2022 年版）》（以下简称“新课标”）</w:t>
      </w:r>
      <w:r>
        <w:rPr>
          <w:rFonts w:hint="eastAsia"/>
        </w:rPr>
        <w:t>要求培养学生四大</w:t>
      </w:r>
      <w:r>
        <w:t>核心素养</w:t>
      </w:r>
      <w:r>
        <w:rPr>
          <w:rFonts w:hint="eastAsia"/>
        </w:rPr>
        <w:t>——</w:t>
      </w:r>
      <w:r>
        <w:t>化学观念、科学思维、科学探究与实践、科学态度与责任</w:t>
      </w:r>
      <w:r>
        <w:rPr>
          <w:rFonts w:hint="eastAsia"/>
        </w:rPr>
        <w:t>，课程内容设置了五个学习主题</w:t>
      </w:r>
      <w:r>
        <w:t>，“物质的组成与结构”是五</w:t>
      </w:r>
      <w:r>
        <w:rPr>
          <w:rFonts w:hint="eastAsia"/>
        </w:rPr>
        <w:t>个学习主题</w:t>
      </w:r>
      <w:r>
        <w:t>之一。该</w:t>
      </w:r>
      <w:r>
        <w:rPr>
          <w:rFonts w:hint="eastAsia"/>
        </w:rPr>
        <w:t>主题的</w:t>
      </w:r>
      <w:r>
        <w:t>大概念</w:t>
      </w:r>
      <w:r>
        <w:rPr>
          <w:rFonts w:hint="eastAsia"/>
        </w:rPr>
        <w:t>是</w:t>
      </w:r>
      <w:r>
        <w:t>“物质的组成”，</w:t>
      </w:r>
      <w:r>
        <w:rPr>
          <w:rFonts w:hint="eastAsia"/>
        </w:rPr>
        <w:t>要</w:t>
      </w:r>
      <w:r>
        <w:t>初步形成</w:t>
      </w:r>
      <w:r>
        <w:rPr>
          <w:rFonts w:hint="eastAsia"/>
        </w:rPr>
        <w:t>基于</w:t>
      </w:r>
      <w:r>
        <w:t>元素和分子、原子认识物质及其变化的视角，建立认识物质的宏观和微观视角之间的关联，知道物质的性质与组成结构有关。</w:t>
      </w:r>
      <w:r>
        <w:rPr>
          <w:rFonts w:hint="eastAsia"/>
        </w:rPr>
        <w:t>通过本主题的学习</w:t>
      </w:r>
      <w:r>
        <w:t>要求学生逐渐形成物质是由元素组成，由分子、原子</w:t>
      </w:r>
      <w:r>
        <w:rPr>
          <w:rFonts w:hint="eastAsia"/>
        </w:rPr>
        <w:t>、离子等微观粒子</w:t>
      </w:r>
      <w:r>
        <w:t>构成，化学变化的本质是原子的重新组合</w:t>
      </w:r>
      <w:r>
        <w:rPr>
          <w:rFonts w:hint="eastAsia"/>
        </w:rPr>
        <w:t>，</w:t>
      </w:r>
      <w:r>
        <w:t xml:space="preserve">物质的结构决定性质等化学观念和从宏观、微观与符号相结合的角度探究物质及其变化规律的科学思维。 </w:t>
      </w:r>
    </w:p>
    <w:p w14:paraId="37427575">
      <w:pPr>
        <w:ind w:firstLine="420"/>
      </w:pPr>
      <w:r>
        <w:t>《义务教育教科书·化学·九年级上册》（</w:t>
      </w:r>
      <w:r>
        <w:rPr>
          <w:rFonts w:hint="eastAsia"/>
        </w:rPr>
        <w:t>沪教版</w:t>
      </w:r>
      <w:r>
        <w:t>）将“物质的组成与结构”</w:t>
      </w:r>
      <w:r>
        <w:rPr>
          <w:rFonts w:hint="eastAsia"/>
        </w:rPr>
        <w:t>这一</w:t>
      </w:r>
      <w:r>
        <w:t>学习主题内容编排在了第三</w:t>
      </w:r>
      <w:r>
        <w:rPr>
          <w:rFonts w:hint="eastAsia"/>
        </w:rPr>
        <w:t>章</w:t>
      </w:r>
      <w:r>
        <w:t>“物质构成的奥秘”</w:t>
      </w:r>
      <w:r>
        <w:rPr>
          <w:rFonts w:hint="eastAsia"/>
        </w:rPr>
        <w:t>中。本章包含三节内容：</w:t>
      </w:r>
    </w:p>
    <w:p w14:paraId="2649F321">
      <w:pPr>
        <w:ind w:firstLine="420"/>
      </w:pPr>
      <w:r>
        <w:rPr>
          <w:rFonts w:hint="eastAsia"/>
        </w:rPr>
        <w:t>第一节《构成物质的微观粒子》主要内容包括物质的构成、原子的结构、相对原子质量和相对分子质量的计算、离子的形成过程、分子、原子、离子间的转化、简单离子符号的书写等。通过这节内容的学习，使学生</w:t>
      </w:r>
      <w:r>
        <w:t>能从</w:t>
      </w:r>
      <w:r>
        <w:rPr>
          <w:rFonts w:hint="eastAsia"/>
        </w:rPr>
        <w:t>微观</w:t>
      </w:r>
      <w:r>
        <w:t>角度认识物质的组成和</w:t>
      </w:r>
      <w:r>
        <w:rPr>
          <w:rFonts w:hint="eastAsia"/>
        </w:rPr>
        <w:t>结构</w:t>
      </w:r>
      <w:r>
        <w:t>，</w:t>
      </w:r>
      <w:r>
        <w:rPr>
          <w:rFonts w:hint="eastAsia"/>
        </w:rPr>
        <w:t>揭示化学反应的本质并</w:t>
      </w:r>
      <w:r>
        <w:t>建立宏观与微观之间的联系。</w:t>
      </w:r>
    </w:p>
    <w:p w14:paraId="42CC9585">
      <w:pPr>
        <w:ind w:firstLine="420"/>
      </w:pPr>
      <w:r>
        <w:rPr>
          <w:rFonts w:hint="eastAsia"/>
        </w:rPr>
        <w:t>第二节《组成物质的化学元素》主要内容包括</w:t>
      </w:r>
      <w:r>
        <w:t>元素的</w:t>
      </w:r>
      <w:r>
        <w:rPr>
          <w:rFonts w:hint="eastAsia"/>
        </w:rPr>
        <w:t>概念、符号的书写和意义、</w:t>
      </w:r>
      <w:r>
        <w:t>自然界中</w:t>
      </w:r>
      <w:r>
        <w:rPr>
          <w:rFonts w:hint="eastAsia"/>
        </w:rPr>
        <w:t>元素</w:t>
      </w:r>
      <w:r>
        <w:t>的存在</w:t>
      </w:r>
      <w:r>
        <w:rPr>
          <w:rFonts w:hint="eastAsia"/>
        </w:rPr>
        <w:t>、元素与人体健康</w:t>
      </w:r>
      <w:r>
        <w:t>等</w:t>
      </w:r>
      <w:r>
        <w:rPr>
          <w:rFonts w:hint="eastAsia"/>
        </w:rPr>
        <w:t>。通过这节内容的学习，</w:t>
      </w:r>
      <w:r>
        <w:t>使学生能</w:t>
      </w:r>
      <w:r>
        <w:rPr>
          <w:rFonts w:hint="eastAsia"/>
        </w:rPr>
        <w:t>理解元素，能</w:t>
      </w:r>
      <w:r>
        <w:t>从元素的角度</w:t>
      </w:r>
      <w:r>
        <w:rPr>
          <w:rFonts w:hint="eastAsia"/>
        </w:rPr>
        <w:t>对纯净物进行分类</w:t>
      </w:r>
      <w:r>
        <w:t xml:space="preserve">。 </w:t>
      </w:r>
    </w:p>
    <w:p w14:paraId="429EE019">
      <w:pPr>
        <w:ind w:firstLine="420"/>
      </w:pPr>
      <w:r>
        <w:rPr>
          <w:rFonts w:hint="eastAsia"/>
        </w:rPr>
        <w:t>第三节《物质组成的表示方法》主要内容包括化学式的含义、书写、命名以及计算等。通过这节内容的学习，使学生逐步形成从宏观与微观、定性与定量相结合的视角认识化学式的系统思维和意识，感受化学符号在连接宏观和微观中的重要作用，发展“宏－微－符”三重表征的能力。</w:t>
      </w:r>
    </w:p>
    <w:p w14:paraId="49D1FD61">
      <w:pPr>
        <w:widowControl/>
        <w:spacing w:line="440" w:lineRule="exact"/>
        <w:rPr>
          <w:rFonts w:ascii="宋体" w:hAnsi="宋体" w:cs="宋体"/>
          <w:color w:val="000000"/>
          <w:kern w:val="0"/>
          <w:szCs w:val="21"/>
          <w:lang w:bidi="ar"/>
        </w:rPr>
      </w:pPr>
      <w:r>
        <w:rPr>
          <w:rFonts w:hint="eastAsia" w:ascii="黑体" w:hAnsi="黑体" w:eastAsia="黑体" w:cs="黑体"/>
          <w:color w:val="000000"/>
          <w:kern w:val="0"/>
          <w:szCs w:val="21"/>
          <w:lang w:bidi="ar"/>
        </w:rPr>
        <w:t xml:space="preserve">二、学情分析 </w:t>
      </w:r>
    </w:p>
    <w:p w14:paraId="077FA612">
      <w:pPr>
        <w:ind w:firstLine="420"/>
        <w:rPr>
          <w:rFonts w:ascii="宋体" w:hAnsi="宋体" w:cs="宋体"/>
          <w:color w:val="000000"/>
          <w:kern w:val="0"/>
          <w:szCs w:val="21"/>
          <w:lang w:bidi="ar"/>
        </w:rPr>
      </w:pPr>
      <w:r>
        <w:t>学生通过前面三</w:t>
      </w:r>
      <w:r>
        <w:rPr>
          <w:rFonts w:hint="eastAsia"/>
        </w:rPr>
        <w:t>章</w:t>
      </w:r>
      <w:r>
        <w:t>的学习</w:t>
      </w:r>
      <w:r>
        <w:rPr>
          <w:rFonts w:hint="eastAsia"/>
        </w:rPr>
        <w:t>已经</w:t>
      </w:r>
      <w:r>
        <w:t>知道化学是一门研究物质的组成、结构、性质、转化及应用的一门学科，具有一定的科学探究能力和较为严谨的科学思维</w:t>
      </w:r>
      <w:r>
        <w:rPr>
          <w:rFonts w:hint="eastAsia"/>
        </w:rPr>
        <w:t>；</w:t>
      </w:r>
      <w:r>
        <w:t>知道认识物质及其变化可以从宏观与微观的视角出发，并且可以用模型和符号表征物质的构成及其变化。本节课是建立在第三</w:t>
      </w:r>
      <w:r>
        <w:rPr>
          <w:rFonts w:hint="eastAsia"/>
        </w:rPr>
        <w:t>章</w:t>
      </w:r>
      <w:r>
        <w:t>学习基础上的复习课，以合成尿素为情境，引发学生思考和探究，</w:t>
      </w:r>
      <w:r>
        <w:rPr>
          <w:rFonts w:hint="eastAsia"/>
        </w:rPr>
        <w:t>让</w:t>
      </w:r>
      <w:r>
        <w:t>学生在问题解决中掌握宏微结合、符号表征、变化守恒等化学学习的思路与方法，建构知识网络。</w:t>
      </w:r>
    </w:p>
    <w:p w14:paraId="70901A88">
      <w:pPr>
        <w:widowControl/>
        <w:spacing w:line="440" w:lineRule="exact"/>
        <w:jc w:val="left"/>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三、教学目标</w:t>
      </w:r>
    </w:p>
    <w:p w14:paraId="1854CE27">
      <w:pPr>
        <w:ind w:firstLine="420"/>
      </w:pPr>
      <w:r>
        <w:rPr>
          <w:rFonts w:hint="eastAsia"/>
        </w:rPr>
        <w:t>1.以工业合成尿素为例，初步了解工业合成物质的方法，明确流程中的反应，学会用会“宏观——微观——符号”表征物质的组成和结构、化学变化的本质。</w:t>
      </w:r>
    </w:p>
    <w:p w14:paraId="71265972">
      <w:pPr>
        <w:ind w:firstLine="420"/>
      </w:pPr>
      <w:r>
        <w:rPr>
          <w:rFonts w:hint="eastAsia"/>
        </w:rPr>
        <w:t>2.通过物质分类、探究尿素的组成、推测尿素的化学式和依据化学式进行计算，促进学生元素观、微粒观、守恒观等化学观念的发展，形成从定性到定量认识物质的科学思维，培养学生审题、分析和解决问题的能力。</w:t>
      </w:r>
    </w:p>
    <w:p w14:paraId="77A2BC24">
      <w:pPr>
        <w:ind w:firstLine="420"/>
      </w:pPr>
      <w:r>
        <w:rPr>
          <w:rFonts w:hint="eastAsia"/>
        </w:rPr>
        <w:t>3.通过了解工业合成尿素的过程，让学生感悟学科价值；了解尿素在工农业生产中的用途和利弊，培养学生的辩证和批判性思维；围绕化肥和粮食增产的关系，引导学生关注环境，增强环保安全意识。</w:t>
      </w:r>
    </w:p>
    <w:p w14:paraId="63FDE2E0">
      <w:pPr>
        <w:widowControl/>
        <w:spacing w:line="440" w:lineRule="exact"/>
        <w:jc w:val="left"/>
        <w:rPr>
          <w:rFonts w:ascii="黑体" w:hAnsi="黑体" w:eastAsia="黑体" w:cs="黑体"/>
          <w:color w:val="000000"/>
          <w:kern w:val="0"/>
          <w:szCs w:val="21"/>
          <w:lang w:bidi="ar"/>
        </w:rPr>
      </w:pPr>
      <w:r>
        <w:rPr>
          <w:rFonts w:hint="eastAsia" w:ascii="黑体" w:hAnsi="黑体" w:eastAsia="黑体" w:cs="黑体"/>
          <w:color w:val="000000"/>
          <w:kern w:val="0"/>
          <w:szCs w:val="21"/>
          <w:lang w:bidi="ar"/>
        </w:rPr>
        <w:t>四、教学重难点</w:t>
      </w:r>
    </w:p>
    <w:p w14:paraId="4B02371B">
      <w:pPr>
        <w:ind w:firstLine="420"/>
      </w:pPr>
      <w:r>
        <w:t>从宏观、微观与符号相结合的角度</w:t>
      </w:r>
      <w:r>
        <w:rPr>
          <w:rFonts w:hint="eastAsia"/>
        </w:rPr>
        <w:t>认识</w:t>
      </w:r>
      <w:r>
        <w:t>物质及其变化规律</w:t>
      </w:r>
    </w:p>
    <w:p w14:paraId="1E075EAA">
      <w:pPr>
        <w:ind w:firstLine="420"/>
      </w:pPr>
      <w:r>
        <w:rPr>
          <w:rFonts w:hint="eastAsia"/>
        </w:rPr>
        <w:t>模型构建：确定化学式的一般方法</w:t>
      </w:r>
    </w:p>
    <w:p w14:paraId="22932847">
      <w:pPr>
        <w:widowControl/>
        <w:spacing w:line="440" w:lineRule="exact"/>
        <w:jc w:val="left"/>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五、教学思路结构图</w:t>
      </w:r>
    </w:p>
    <w:p w14:paraId="40B90C2F">
      <w:pPr>
        <w:widowControl/>
        <w:jc w:val="center"/>
        <w:rPr>
          <w:rFonts w:ascii="黑体" w:hAnsi="黑体" w:eastAsia="黑体" w:cs="黑体"/>
          <w:color w:val="000000"/>
          <w:kern w:val="0"/>
          <w:szCs w:val="21"/>
          <w:lang w:bidi="ar"/>
        </w:rPr>
      </w:pPr>
      <w:r>
        <w:rPr>
          <w:rFonts w:ascii="黑体" w:hAnsi="黑体" w:eastAsia="黑体" w:cs="黑体"/>
          <w:color w:val="000000"/>
          <w:kern w:val="0"/>
          <w:szCs w:val="21"/>
        </w:rPr>
        <w:drawing>
          <wp:inline distT="0" distB="0" distL="0" distR="0">
            <wp:extent cx="5247640" cy="3518535"/>
            <wp:effectExtent l="0" t="0" r="10160" b="5715"/>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47640" cy="3518535"/>
                    </a:xfrm>
                    <a:prstGeom prst="rect">
                      <a:avLst/>
                    </a:prstGeom>
                    <a:noFill/>
                    <a:ln>
                      <a:noFill/>
                    </a:ln>
                  </pic:spPr>
                </pic:pic>
              </a:graphicData>
            </a:graphic>
          </wp:inline>
        </w:drawing>
      </w:r>
    </w:p>
    <w:p w14:paraId="01363046">
      <w:pPr>
        <w:widowControl/>
        <w:jc w:val="left"/>
        <w:rPr>
          <w:rFonts w:ascii="宋体" w:hAnsi="宋体" w:eastAsia="宋体" w:cs="宋体"/>
          <w:color w:val="000000"/>
          <w:kern w:val="0"/>
          <w:szCs w:val="21"/>
          <w:lang w:bidi="ar"/>
        </w:rPr>
      </w:pPr>
      <w:r>
        <w:rPr>
          <w:rFonts w:hint="eastAsia" w:ascii="黑体" w:hAnsi="黑体" w:eastAsia="黑体" w:cs="黑体"/>
          <w:color w:val="000000"/>
          <w:kern w:val="0"/>
          <w:szCs w:val="21"/>
          <w:lang w:bidi="ar"/>
        </w:rPr>
        <w:t>六、教学过程</w:t>
      </w:r>
    </w:p>
    <w:tbl>
      <w:tblPr>
        <w:tblStyle w:val="12"/>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1"/>
        <w:gridCol w:w="1546"/>
        <w:gridCol w:w="1835"/>
      </w:tblGrid>
      <w:tr w14:paraId="2013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1" w:type="dxa"/>
          </w:tcPr>
          <w:p w14:paraId="794D6E68">
            <w:pPr>
              <w:widowControl/>
              <w:jc w:val="center"/>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教师活动</w:t>
            </w:r>
          </w:p>
        </w:tc>
        <w:tc>
          <w:tcPr>
            <w:tcW w:w="1546" w:type="dxa"/>
          </w:tcPr>
          <w:p w14:paraId="67318052">
            <w:pPr>
              <w:widowControl/>
              <w:jc w:val="center"/>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学生活动</w:t>
            </w:r>
          </w:p>
        </w:tc>
        <w:tc>
          <w:tcPr>
            <w:tcW w:w="1835" w:type="dxa"/>
          </w:tcPr>
          <w:p w14:paraId="0878ED04">
            <w:pPr>
              <w:widowControl/>
              <w:jc w:val="center"/>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设计意图</w:t>
            </w:r>
          </w:p>
        </w:tc>
      </w:tr>
      <w:tr w14:paraId="1E78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1" w:type="dxa"/>
          </w:tcPr>
          <w:p w14:paraId="024A44F0">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【导入新课】</w:t>
            </w:r>
            <w:r>
              <w:rPr>
                <w:rFonts w:hint="eastAsia" w:asciiTheme="minorEastAsia" w:hAnsiTheme="minorEastAsia" w:eastAsiaTheme="minorEastAsia" w:cstheme="minorEastAsia"/>
                <w:color w:val="000000"/>
                <w:kern w:val="0"/>
                <w:sz w:val="18"/>
                <w:szCs w:val="18"/>
              </w:rPr>
              <w:t>党的二十大报告强调，要加快建设农业强国，要“全方位夯实粮食安全根基”“确保中国人的饭碗牢牢端在自己手中”。</w:t>
            </w:r>
          </w:p>
          <w:p w14:paraId="405A5E28">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自2015年起，我国粮食总产量一直保持在6.5亿吨以上。如何保持粮食高产？化肥是重要的因素。</w:t>
            </w:r>
          </w:p>
          <w:p w14:paraId="7BD4A9DE">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【展示实物】尿素</w:t>
            </w:r>
          </w:p>
          <w:p w14:paraId="7370C15E">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【讲述】尿素的发现史</w:t>
            </w:r>
          </w:p>
          <w:p w14:paraId="45064845">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【提问】</w:t>
            </w:r>
            <w:r>
              <w:rPr>
                <w:rFonts w:hint="eastAsia" w:asciiTheme="minorEastAsia" w:hAnsiTheme="minorEastAsia" w:eastAsiaTheme="minorEastAsia" w:cstheme="minorEastAsia"/>
                <w:color w:val="000000"/>
                <w:kern w:val="0"/>
                <w:sz w:val="18"/>
                <w:szCs w:val="18"/>
              </w:rPr>
              <w:t>尿素是如何合成的？</w:t>
            </w:r>
          </w:p>
          <w:p w14:paraId="7E276754">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【视频】</w:t>
            </w:r>
            <w:r>
              <w:rPr>
                <w:rFonts w:hint="eastAsia" w:asciiTheme="minorEastAsia" w:hAnsiTheme="minorEastAsia" w:eastAsiaTheme="minorEastAsia" w:cstheme="minorEastAsia"/>
                <w:color w:val="000000"/>
                <w:kern w:val="0"/>
                <w:sz w:val="18"/>
                <w:szCs w:val="18"/>
              </w:rPr>
              <w:t>合成尿素</w:t>
            </w:r>
          </w:p>
        </w:tc>
        <w:tc>
          <w:tcPr>
            <w:tcW w:w="1546" w:type="dxa"/>
          </w:tcPr>
          <w:p w14:paraId="5BC03925">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0CE34E46">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D93E679">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8DC32A1">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A65BD2A">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交流回答</w:t>
            </w:r>
          </w:p>
        </w:tc>
        <w:tc>
          <w:tcPr>
            <w:tcW w:w="1835" w:type="dxa"/>
          </w:tcPr>
          <w:p w14:paraId="7BF00DBD">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创设生活情境，激发学生兴趣</w:t>
            </w:r>
          </w:p>
          <w:p w14:paraId="3B84F014">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t>引导学生深入思考，了解化肥对粮食增产的重要作用。</w:t>
            </w:r>
          </w:p>
        </w:tc>
      </w:tr>
      <w:tr w14:paraId="5936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1" w:type="dxa"/>
          </w:tcPr>
          <w:p w14:paraId="465C984C">
            <w:pPr>
              <w:widowControl/>
              <w:spacing w:line="440" w:lineRule="exact"/>
              <w:jc w:val="left"/>
              <w:rPr>
                <w:rFonts w:hint="eastAsia"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环节一：识变化</w:t>
            </w:r>
          </w:p>
          <w:p w14:paraId="0BC30BE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【展示】合成尿素的流程图</w:t>
            </w:r>
          </w:p>
          <w:p w14:paraId="3F7BF225">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drawing>
                <wp:inline distT="0" distB="0" distL="0" distR="0">
                  <wp:extent cx="3023235" cy="941705"/>
                  <wp:effectExtent l="0" t="0" r="5715"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23235" cy="941705"/>
                          </a:xfrm>
                          <a:prstGeom prst="rect">
                            <a:avLst/>
                          </a:prstGeom>
                          <a:noFill/>
                          <a:ln>
                            <a:noFill/>
                          </a:ln>
                          <a:effectLst/>
                        </pic:spPr>
                      </pic:pic>
                    </a:graphicData>
                  </a:graphic>
                </wp:inline>
              </w:drawing>
            </w:r>
          </w:p>
          <w:p w14:paraId="3DBF2159">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解读流程，明确反应</w:t>
            </w:r>
          </w:p>
          <w:p w14:paraId="2CAB1B9B">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【展示】合成尿素的另外一个流程图</w:t>
            </w:r>
          </w:p>
          <w:p w14:paraId="65B6D272">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drawing>
                <wp:inline distT="0" distB="0" distL="0" distR="0">
                  <wp:extent cx="3034665" cy="973455"/>
                  <wp:effectExtent l="0" t="0" r="13335" b="171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34665" cy="973455"/>
                          </a:xfrm>
                          <a:prstGeom prst="rect">
                            <a:avLst/>
                          </a:prstGeom>
                          <a:noFill/>
                          <a:ln>
                            <a:noFill/>
                          </a:ln>
                        </pic:spPr>
                      </pic:pic>
                    </a:graphicData>
                  </a:graphic>
                </wp:inline>
              </w:drawing>
            </w:r>
          </w:p>
          <w:p w14:paraId="43C153CD">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【问题1】你能书写流程中物质的化学式吗（空气和尿素除外）？</w:t>
            </w:r>
          </w:p>
          <w:p w14:paraId="52D536F8">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【问题2】你能从物质种类、元素种类等角度对以上物质进行分类吗？</w:t>
            </w:r>
          </w:p>
          <w:p w14:paraId="3BAA43C2">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【过渡】根据流程，写出合成氨的表达式</w:t>
            </w:r>
          </w:p>
          <w:p w14:paraId="4B7BE4B3">
            <w:pPr>
              <w:widowControl/>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drawing>
                <wp:inline distT="0" distB="0" distL="0" distR="0">
                  <wp:extent cx="2962910" cy="100965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62910" cy="1009650"/>
                          </a:xfrm>
                          <a:prstGeom prst="rect">
                            <a:avLst/>
                          </a:prstGeom>
                          <a:noFill/>
                          <a:ln>
                            <a:noFill/>
                          </a:ln>
                        </pic:spPr>
                      </pic:pic>
                    </a:graphicData>
                  </a:graphic>
                </wp:inline>
              </w:drawing>
            </w:r>
          </w:p>
          <w:p w14:paraId="2AE563FC">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【展示】合成氨的微观示意图</w:t>
            </w:r>
          </w:p>
          <w:p w14:paraId="6F65EF29">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drawing>
                <wp:inline distT="0" distB="0" distL="0" distR="0">
                  <wp:extent cx="2874645" cy="658495"/>
                  <wp:effectExtent l="0" t="0" r="190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74645" cy="658495"/>
                          </a:xfrm>
                          <a:prstGeom prst="rect">
                            <a:avLst/>
                          </a:prstGeom>
                          <a:noFill/>
                          <a:ln>
                            <a:noFill/>
                          </a:ln>
                        </pic:spPr>
                      </pic:pic>
                    </a:graphicData>
                  </a:graphic>
                </wp:inline>
              </w:drawing>
            </w:r>
          </w:p>
          <w:p w14:paraId="6F33F9F7">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【问题3】</w:t>
            </w:r>
            <w:r>
              <w:rPr>
                <w:rFonts w:hint="eastAsia" w:asciiTheme="minorEastAsia" w:hAnsiTheme="minorEastAsia" w:eastAsiaTheme="minorEastAsia" w:cstheme="minorEastAsia"/>
                <w:color w:val="000000"/>
                <w:kern w:val="0"/>
                <w:sz w:val="18"/>
                <w:szCs w:val="18"/>
              </w:rPr>
              <w:t>图例表示的是什么原子？写出相应的符号。</w:t>
            </w:r>
          </w:p>
          <w:p w14:paraId="280398B1">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【问题4】</w:t>
            </w:r>
            <w:r>
              <w:rPr>
                <w:rFonts w:hint="eastAsia" w:asciiTheme="minorEastAsia" w:hAnsiTheme="minorEastAsia" w:eastAsiaTheme="minorEastAsia" w:cstheme="minorEastAsia"/>
                <w:color w:val="000000"/>
                <w:kern w:val="0"/>
                <w:sz w:val="18"/>
                <w:szCs w:val="18"/>
              </w:rPr>
              <w:t>将反应中的微观粒子补充完整，从中你发现了什么？</w:t>
            </w:r>
          </w:p>
          <w:p w14:paraId="28F40F17">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【问题5】</w:t>
            </w:r>
            <w:r>
              <w:rPr>
                <w:rFonts w:hint="eastAsia" w:asciiTheme="minorEastAsia" w:hAnsiTheme="minorEastAsia" w:eastAsiaTheme="minorEastAsia" w:cstheme="minorEastAsia"/>
                <w:color w:val="000000"/>
                <w:kern w:val="0"/>
                <w:sz w:val="18"/>
                <w:szCs w:val="18"/>
              </w:rPr>
              <w:t>反应前后元素种类会改变吗？结合元素概念说明理由。</w:t>
            </w:r>
          </w:p>
          <w:p w14:paraId="74B19E7F">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【问题6】</w:t>
            </w:r>
            <w:r>
              <w:rPr>
                <w:rFonts w:hint="eastAsia" w:asciiTheme="minorEastAsia" w:hAnsiTheme="minorEastAsia" w:eastAsiaTheme="minorEastAsia" w:cstheme="minorEastAsia"/>
                <w:color w:val="000000"/>
                <w:kern w:val="0"/>
                <w:sz w:val="18"/>
                <w:szCs w:val="18"/>
              </w:rPr>
              <w:t>在此生产流程中，甲烷燃烧的主要作用是什么？写出该反应符号表达式。</w:t>
            </w:r>
          </w:p>
          <w:p w14:paraId="70779F2C">
            <w:pPr>
              <w:widowControl/>
              <w:spacing w:line="440" w:lineRule="exact"/>
              <w:jc w:val="left"/>
              <w:rPr>
                <w:rFonts w:hint="eastAsia" w:asciiTheme="minorEastAsia" w:hAnsiTheme="minorEastAsia" w:eastAsiaTheme="minorEastAsia" w:cstheme="minorEastAsia"/>
                <w:color w:val="000000"/>
                <w:kern w:val="0"/>
                <w:sz w:val="18"/>
                <w:szCs w:val="18"/>
              </w:rPr>
            </w:pPr>
          </w:p>
          <w:p w14:paraId="78157FA6">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lang w:bidi="ar"/>
              </w:rPr>
              <w:t>环节二</w:t>
            </w:r>
            <w:r>
              <w:rPr>
                <w:rFonts w:hint="eastAsia" w:asciiTheme="minorEastAsia" w:hAnsiTheme="minorEastAsia" w:eastAsiaTheme="minorEastAsia" w:cstheme="minorEastAsia"/>
                <w:color w:val="000000"/>
                <w:kern w:val="0"/>
                <w:sz w:val="18"/>
                <w:szCs w:val="18"/>
              </w:rPr>
              <w:t>：探物质</w:t>
            </w:r>
          </w:p>
          <w:p w14:paraId="1FDF1048">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【问题7】</w:t>
            </w:r>
            <w:r>
              <w:rPr>
                <w:rFonts w:hint="eastAsia" w:asciiTheme="minorEastAsia" w:hAnsiTheme="minorEastAsia" w:eastAsiaTheme="minorEastAsia" w:cstheme="minorEastAsia"/>
                <w:color w:val="000000"/>
                <w:kern w:val="0"/>
                <w:sz w:val="18"/>
                <w:szCs w:val="18"/>
              </w:rPr>
              <w:t>分析流程，你认为尿素中有什么元素？为什么？</w:t>
            </w:r>
          </w:p>
          <w:p w14:paraId="64478939">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【过渡】</w:t>
            </w:r>
            <w:r>
              <w:rPr>
                <w:rFonts w:hint="eastAsia" w:asciiTheme="minorEastAsia" w:hAnsiTheme="minorEastAsia" w:eastAsiaTheme="minorEastAsia" w:cstheme="minorEastAsia"/>
                <w:color w:val="000000"/>
                <w:kern w:val="0"/>
                <w:sz w:val="18"/>
                <w:szCs w:val="18"/>
              </w:rPr>
              <w:t>经过仪器测定，尿素里除了含有碳、氮元素外，还含有氢元素和氧元素，且碳、氢、氮、氧4种元素的质量比分别是3:1:7:4。</w:t>
            </w:r>
          </w:p>
          <w:p w14:paraId="3A625311">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相对原子质量：C：12   H：1   N：14   O：16</w:t>
            </w:r>
          </w:p>
          <w:p w14:paraId="4FE54049">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求：1、C、H、N、O四种原子的个数比是多少</w:t>
            </w:r>
          </w:p>
          <w:p w14:paraId="7111B82E">
            <w:pPr>
              <w:numPr>
                <w:ilvl w:val="0"/>
                <w:numId w:val="1"/>
              </w:numPr>
              <w:spacing w:line="440" w:lineRule="exact"/>
              <w:ind w:firstLine="360" w:firstLineChars="200"/>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已知</w:t>
            </w:r>
            <w:r>
              <w:rPr>
                <w:rFonts w:hint="eastAsia" w:asciiTheme="minorEastAsia" w:hAnsiTheme="minorEastAsia" w:eastAsiaTheme="minorEastAsia" w:cstheme="minorEastAsia"/>
                <w:i/>
                <w:iCs/>
                <w:color w:val="000000"/>
                <w:kern w:val="0"/>
                <w:sz w:val="18"/>
                <w:szCs w:val="18"/>
              </w:rPr>
              <w:t>M</w:t>
            </w:r>
            <w:r>
              <w:rPr>
                <w:rFonts w:hint="eastAsia" w:asciiTheme="minorEastAsia" w:hAnsiTheme="minorEastAsia" w:eastAsiaTheme="minorEastAsia" w:cstheme="minorEastAsia"/>
                <w:color w:val="000000"/>
                <w:kern w:val="0"/>
                <w:sz w:val="18"/>
                <w:szCs w:val="18"/>
              </w:rPr>
              <w:t>r</w:t>
            </w:r>
            <w:r>
              <w:rPr>
                <w:rFonts w:hint="eastAsia" w:asciiTheme="minorEastAsia" w:hAnsiTheme="minorEastAsia" w:eastAsiaTheme="minorEastAsia" w:cstheme="minorEastAsia"/>
                <w:color w:val="000000"/>
                <w:kern w:val="0"/>
                <w:sz w:val="18"/>
                <w:szCs w:val="18"/>
                <w:vertAlign w:val="subscript"/>
              </w:rPr>
              <w:t>（尿素）</w:t>
            </w:r>
            <w:r>
              <w:rPr>
                <w:rFonts w:hint="eastAsia" w:asciiTheme="minorEastAsia" w:hAnsiTheme="minorEastAsia" w:eastAsiaTheme="minorEastAsia" w:cstheme="minorEastAsia"/>
                <w:color w:val="000000"/>
                <w:kern w:val="0"/>
                <w:sz w:val="18"/>
                <w:szCs w:val="18"/>
              </w:rPr>
              <w:t>=60，求化学式</w:t>
            </w:r>
          </w:p>
          <w:p w14:paraId="5E29ABFB">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模型构建：确定由分子构成的物质的化学式一般方法</w:t>
            </w:r>
          </w:p>
          <w:p w14:paraId="2E5C2A8D">
            <w:pPr>
              <w:widowControl/>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drawing>
                <wp:inline distT="0" distB="0" distL="0" distR="0">
                  <wp:extent cx="1082675" cy="804545"/>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82675" cy="804545"/>
                          </a:xfrm>
                          <a:prstGeom prst="rect">
                            <a:avLst/>
                          </a:prstGeom>
                          <a:noFill/>
                          <a:ln>
                            <a:noFill/>
                          </a:ln>
                          <a:effectLst/>
                        </pic:spPr>
                      </pic:pic>
                    </a:graphicData>
                  </a:graphic>
                </wp:inline>
              </w:drawing>
            </w:r>
            <w:r>
              <w:rPr>
                <w:rFonts w:hint="eastAsia" w:asciiTheme="minorEastAsia" w:hAnsiTheme="minorEastAsia" w:eastAsiaTheme="minorEastAsia" w:cstheme="minorEastAsia"/>
                <w:color w:val="000000"/>
                <w:kern w:val="0"/>
                <w:sz w:val="18"/>
                <w:szCs w:val="18"/>
              </w:rPr>
              <w:t xml:space="preserve">  CO(NH</w:t>
            </w:r>
            <w:r>
              <w:rPr>
                <w:rFonts w:hint="eastAsia" w:asciiTheme="minorEastAsia" w:hAnsiTheme="minorEastAsia" w:eastAsiaTheme="minorEastAsia" w:cstheme="minorEastAsia"/>
                <w:color w:val="000000"/>
                <w:kern w:val="0"/>
                <w:sz w:val="18"/>
                <w:szCs w:val="18"/>
                <w:vertAlign w:val="subscript"/>
              </w:rPr>
              <w:t>2</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eastAsiaTheme="minorEastAsia" w:cstheme="minorEastAsia"/>
                <w:color w:val="000000"/>
                <w:kern w:val="0"/>
                <w:sz w:val="18"/>
                <w:szCs w:val="18"/>
                <w:vertAlign w:val="subscript"/>
              </w:rPr>
              <w:t>2</w:t>
            </w:r>
          </w:p>
          <w:p w14:paraId="311F9C3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【问题8】</w:t>
            </w:r>
            <w:r>
              <w:rPr>
                <w:rFonts w:hint="eastAsia" w:asciiTheme="minorEastAsia" w:hAnsiTheme="minorEastAsia" w:eastAsiaTheme="minorEastAsia" w:cstheme="minorEastAsia"/>
                <w:color w:val="000000"/>
                <w:kern w:val="0"/>
                <w:sz w:val="18"/>
                <w:szCs w:val="18"/>
              </w:rPr>
              <w:t>你从这个化学式中能得到哪些信息？</w:t>
            </w:r>
          </w:p>
          <w:p w14:paraId="2FA2EBDF">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【问题9】</w:t>
            </w:r>
            <w:r>
              <w:rPr>
                <w:rFonts w:hint="eastAsia" w:asciiTheme="minorEastAsia" w:hAnsiTheme="minorEastAsia" w:eastAsiaTheme="minorEastAsia" w:cstheme="minorEastAsia"/>
                <w:color w:val="000000"/>
                <w:kern w:val="0"/>
                <w:sz w:val="18"/>
                <w:szCs w:val="18"/>
              </w:rPr>
              <w:t>尿素中含氮量是多少？</w:t>
            </w:r>
          </w:p>
          <w:p w14:paraId="74A45F65">
            <w:pPr>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【过渡】</w:t>
            </w:r>
            <w:r>
              <w:rPr>
                <w:rFonts w:hint="eastAsia" w:asciiTheme="minorEastAsia" w:hAnsiTheme="minorEastAsia" w:eastAsiaTheme="minorEastAsia" w:cstheme="minorEastAsia"/>
                <w:color w:val="000000"/>
                <w:kern w:val="0"/>
                <w:sz w:val="18"/>
                <w:szCs w:val="18"/>
              </w:rPr>
              <w:t>尿素给植物生长提供所需的氮元素，促进植物生长和发育。尿素施入土壤后，在脲酶的作用下迅速水解生成碳酸铵，进一步转化为铵态氮(NH</w:t>
            </w:r>
            <w:r>
              <w:rPr>
                <w:rFonts w:hint="eastAsia" w:asciiTheme="minorEastAsia" w:hAnsiTheme="minorEastAsia" w:eastAsiaTheme="minorEastAsia" w:cstheme="minorEastAsia"/>
                <w:color w:val="000000"/>
                <w:kern w:val="0"/>
                <w:sz w:val="18"/>
                <w:szCs w:val="18"/>
                <w:vertAlign w:val="subscript"/>
              </w:rPr>
              <w:t>4</w:t>
            </w:r>
            <w:r>
              <w:rPr>
                <w:rFonts w:hint="eastAsia" w:asciiTheme="minorEastAsia" w:hAnsiTheme="minorEastAsia" w:eastAsiaTheme="minorEastAsia" w:cstheme="minorEastAsia"/>
                <w:color w:val="000000"/>
                <w:kern w:val="0"/>
                <w:sz w:val="18"/>
                <w:szCs w:val="18"/>
                <w:vertAlign w:val="superscript"/>
              </w:rPr>
              <w:t>+</w:t>
            </w:r>
            <w:r>
              <w:rPr>
                <w:rFonts w:hint="eastAsia" w:asciiTheme="minorEastAsia" w:hAnsiTheme="minorEastAsia" w:eastAsiaTheme="minorEastAsia" w:cstheme="minorEastAsia"/>
                <w:color w:val="000000"/>
                <w:kern w:val="0"/>
                <w:sz w:val="18"/>
                <w:szCs w:val="18"/>
              </w:rPr>
              <w:t>)和碳酸，铵态氮(NH</w:t>
            </w:r>
            <w:r>
              <w:rPr>
                <w:rFonts w:hint="eastAsia" w:asciiTheme="minorEastAsia" w:hAnsiTheme="minorEastAsia" w:eastAsiaTheme="minorEastAsia" w:cstheme="minorEastAsia"/>
                <w:color w:val="000000"/>
                <w:kern w:val="0"/>
                <w:sz w:val="18"/>
                <w:szCs w:val="18"/>
                <w:vertAlign w:val="subscript"/>
              </w:rPr>
              <w:t>4</w:t>
            </w:r>
            <w:r>
              <w:rPr>
                <w:rFonts w:hint="eastAsia" w:asciiTheme="minorEastAsia" w:hAnsiTheme="minorEastAsia" w:eastAsiaTheme="minorEastAsia" w:cstheme="minorEastAsia"/>
                <w:color w:val="000000"/>
                <w:kern w:val="0"/>
                <w:sz w:val="18"/>
                <w:szCs w:val="18"/>
                <w:vertAlign w:val="superscript"/>
              </w:rPr>
              <w:t>+</w:t>
            </w:r>
            <w:r>
              <w:rPr>
                <w:rFonts w:hint="eastAsia" w:asciiTheme="minorEastAsia" w:hAnsiTheme="minorEastAsia" w:eastAsiaTheme="minorEastAsia" w:cstheme="minorEastAsia"/>
                <w:color w:val="000000"/>
                <w:kern w:val="0"/>
                <w:sz w:val="18"/>
                <w:szCs w:val="18"/>
              </w:rPr>
              <w:t>))被植物吸收利用。</w:t>
            </w:r>
          </w:p>
          <w:p w14:paraId="5563844E">
            <w:pPr>
              <w:widowControl/>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drawing>
                <wp:inline distT="0" distB="0" distL="0" distR="0">
                  <wp:extent cx="2860040" cy="906780"/>
                  <wp:effectExtent l="0" t="0" r="0" b="762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60040" cy="906780"/>
                          </a:xfrm>
                          <a:prstGeom prst="rect">
                            <a:avLst/>
                          </a:prstGeom>
                          <a:noFill/>
                          <a:ln>
                            <a:noFill/>
                          </a:ln>
                          <a:effectLst/>
                        </pic:spPr>
                      </pic:pic>
                    </a:graphicData>
                  </a:graphic>
                </wp:inline>
              </w:drawing>
            </w:r>
          </w:p>
          <w:p w14:paraId="77411AB8">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【问题10】</w:t>
            </w:r>
            <w:r>
              <w:rPr>
                <w:rFonts w:hint="eastAsia" w:asciiTheme="minorEastAsia" w:hAnsiTheme="minorEastAsia" w:eastAsiaTheme="minorEastAsia" w:cstheme="minorEastAsia"/>
                <w:color w:val="000000"/>
                <w:kern w:val="0"/>
                <w:sz w:val="18"/>
                <w:szCs w:val="18"/>
              </w:rPr>
              <w:t>从标签上你能获取哪些信息？</w:t>
            </w:r>
          </w:p>
          <w:p w14:paraId="5E5A43E3">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【问题11】</w:t>
            </w:r>
            <w:r>
              <w:rPr>
                <w:rFonts w:hint="eastAsia" w:asciiTheme="minorEastAsia" w:hAnsiTheme="minorEastAsia" w:eastAsiaTheme="minorEastAsia" w:cstheme="minorEastAsia"/>
                <w:color w:val="000000"/>
                <w:kern w:val="0"/>
                <w:sz w:val="18"/>
                <w:szCs w:val="18"/>
              </w:rPr>
              <w:t>上述50kg的尿素化肥中至少含有多少kg纯净的尿素？（杂质不含氮元素，结果保留一位小数）</w:t>
            </w:r>
          </w:p>
          <w:p w14:paraId="3C7447AB">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【问题12】</w:t>
            </w:r>
            <w:r>
              <w:rPr>
                <w:rFonts w:hint="eastAsia" w:asciiTheme="minorEastAsia" w:hAnsiTheme="minorEastAsia" w:eastAsiaTheme="minorEastAsia" w:cstheme="minorEastAsia"/>
                <w:color w:val="000000"/>
                <w:kern w:val="0"/>
                <w:sz w:val="18"/>
                <w:szCs w:val="18"/>
              </w:rPr>
              <w:t>某地氮肥的销售价格为尿素2000元/吨，碳酸氢铵1000元/吨。如果给你1000元钱去购买上述两种化肥，你准备购买哪种？（以最低含氮量计算）</w:t>
            </w:r>
          </w:p>
          <w:p w14:paraId="4E607A75">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lang w:bidi="ar"/>
              </w:rPr>
              <w:t>环节三</w:t>
            </w:r>
            <w:r>
              <w:rPr>
                <w:rFonts w:hint="eastAsia" w:asciiTheme="minorEastAsia" w:hAnsiTheme="minorEastAsia" w:eastAsiaTheme="minorEastAsia" w:cstheme="minorEastAsia"/>
                <w:color w:val="000000"/>
                <w:kern w:val="0"/>
                <w:sz w:val="18"/>
                <w:szCs w:val="18"/>
              </w:rPr>
              <w:t>：悟价值</w:t>
            </w:r>
          </w:p>
          <w:p w14:paraId="5A361F28">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尿素的用途</w:t>
            </w:r>
          </w:p>
          <w:p w14:paraId="50F513F5">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1、氮肥，适用于各种土壤和植物，对土壤的破坏作用小</w:t>
            </w:r>
          </w:p>
          <w:p w14:paraId="759AFDCC">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2、除雪剂中盐的良好替代品，不会腐蚀金属</w:t>
            </w:r>
          </w:p>
          <w:p w14:paraId="7498CD7B">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3、某些洗发剂、清洁剂的成分，可增加有机物质的溶解度，还可提高产品贮藏稳定性</w:t>
            </w:r>
          </w:p>
          <w:p w14:paraId="65D8EDEB">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4、纺织工业染色和印刷时的重要辅助剂，能提高颜料可溶性，并使纺织品染色后保持一定的湿度</w:t>
            </w:r>
          </w:p>
          <w:p w14:paraId="6B19D509">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5、急救用制冷包的成分，因为尿素与水的反应会吸热</w:t>
            </w:r>
          </w:p>
          <w:p w14:paraId="416119FE">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6、特殊塑料（尿素甲醛树脂）的原料</w:t>
            </w:r>
          </w:p>
          <w:p w14:paraId="3D7D9C17">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【视频】车载</w:t>
            </w:r>
            <w:r>
              <w:rPr>
                <w:rFonts w:hint="eastAsia" w:asciiTheme="minorEastAsia" w:hAnsiTheme="minorEastAsia" w:eastAsiaTheme="minorEastAsia" w:cstheme="minorEastAsia"/>
                <w:color w:val="000000"/>
                <w:kern w:val="0"/>
                <w:sz w:val="18"/>
                <w:szCs w:val="18"/>
              </w:rPr>
              <w:t>尿素</w:t>
            </w:r>
          </w:p>
        </w:tc>
        <w:tc>
          <w:tcPr>
            <w:tcW w:w="1546" w:type="dxa"/>
          </w:tcPr>
          <w:p w14:paraId="009CF2BB">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54437E3E">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37086E0A">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32A6C8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初步了解合成尿素的方法</w:t>
            </w:r>
          </w:p>
          <w:p w14:paraId="70C2451A">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069BC504">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3DFDA210">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81642DD">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E596697">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722D557E">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书写物质的化学式</w:t>
            </w:r>
          </w:p>
          <w:p w14:paraId="4E30D570">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对物质进行分类</w:t>
            </w:r>
          </w:p>
          <w:p w14:paraId="36F75130">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936C9EB">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书写表达式</w:t>
            </w:r>
          </w:p>
          <w:p w14:paraId="2E49BB4C">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5E97955B">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3E73CDF">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C477ABD">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写图例</w:t>
            </w:r>
          </w:p>
          <w:p w14:paraId="7738E8EC">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补充图形</w:t>
            </w:r>
          </w:p>
          <w:p w14:paraId="784F64D4">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发生化学变化时，分子先分解成原子，原子再重新组合成分子。</w:t>
            </w:r>
          </w:p>
          <w:p w14:paraId="5B288363">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原子种类数目不变，元素种类也不变</w:t>
            </w:r>
          </w:p>
          <w:p w14:paraId="434451C1">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书写甲烷燃烧的表达式</w:t>
            </w:r>
          </w:p>
          <w:p w14:paraId="39D54742">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7AD4DFA8">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1659666">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猜测</w:t>
            </w:r>
          </w:p>
          <w:p w14:paraId="75AFC7D8">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10FC2801">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5878738B">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77D2344">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164C882D">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定量计算</w:t>
            </w:r>
          </w:p>
          <w:p w14:paraId="7DF68596">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58292CE">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C74587A">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CFD2309">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5148988E">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11853C50">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97AD0C5">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B54ABA2">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3A188525">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说出化学式的含义</w:t>
            </w:r>
          </w:p>
          <w:p w14:paraId="7CB446C0">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定量计算</w:t>
            </w:r>
          </w:p>
          <w:p w14:paraId="2C3E9DEA">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F2D0A2B">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00CC7E91">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7E9A8F89">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1298AC25">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00181CE7">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35945C8D">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0266651A">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0E2F7EE">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39CFBB55">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交流讨论、分析</w:t>
            </w:r>
          </w:p>
          <w:p w14:paraId="35343FB4">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13D44EF2">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计算</w:t>
            </w:r>
          </w:p>
          <w:p w14:paraId="3D87F739">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6E2407A2">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F65B948">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40682D4">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86FF2C9">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2B5EDC67">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7E303D2B">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7CB80BAE">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了解</w:t>
            </w:r>
          </w:p>
          <w:p w14:paraId="1752AF8A">
            <w:pPr>
              <w:widowControl/>
              <w:spacing w:line="440" w:lineRule="exact"/>
              <w:jc w:val="left"/>
              <w:rPr>
                <w:rFonts w:hint="eastAsia" w:asciiTheme="minorEastAsia" w:hAnsiTheme="minorEastAsia" w:eastAsiaTheme="minorEastAsia" w:cstheme="minorEastAsia"/>
                <w:color w:val="000000"/>
                <w:kern w:val="0"/>
                <w:sz w:val="18"/>
                <w:szCs w:val="18"/>
                <w:lang w:bidi="ar"/>
              </w:rPr>
            </w:pPr>
          </w:p>
        </w:tc>
        <w:tc>
          <w:tcPr>
            <w:tcW w:w="1835" w:type="dxa"/>
          </w:tcPr>
          <w:p w14:paraId="6A579DD6">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 xml:space="preserve"> </w:t>
            </w:r>
          </w:p>
          <w:p w14:paraId="21ACF754">
            <w:pPr>
              <w:widowControl/>
              <w:spacing w:line="440" w:lineRule="exact"/>
              <w:jc w:val="left"/>
              <w:rPr>
                <w:rFonts w:hint="eastAsia" w:asciiTheme="minorEastAsia" w:hAnsiTheme="minorEastAsia" w:eastAsiaTheme="minorEastAsia" w:cstheme="minorEastAsia"/>
                <w:color w:val="000000"/>
                <w:kern w:val="0"/>
                <w:sz w:val="18"/>
                <w:szCs w:val="18"/>
                <w:lang w:bidi="ar"/>
              </w:rPr>
            </w:pPr>
          </w:p>
          <w:p w14:paraId="49A22614">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以合成尿素为例，了解合成物质的方法，学会解读流程，明确反应。</w:t>
            </w:r>
          </w:p>
          <w:p w14:paraId="61BB8936">
            <w:pPr>
              <w:widowControl/>
              <w:spacing w:line="440" w:lineRule="exact"/>
              <w:jc w:val="left"/>
              <w:rPr>
                <w:rFonts w:hint="eastAsia" w:asciiTheme="minorEastAsia" w:hAnsiTheme="minorEastAsia" w:eastAsiaTheme="minorEastAsia" w:cstheme="minorEastAsia"/>
                <w:color w:val="000000"/>
                <w:kern w:val="0"/>
                <w:sz w:val="18"/>
                <w:szCs w:val="18"/>
              </w:rPr>
            </w:pPr>
          </w:p>
          <w:p w14:paraId="7E6D4CCE">
            <w:pPr>
              <w:widowControl/>
              <w:spacing w:line="440" w:lineRule="exact"/>
              <w:jc w:val="left"/>
              <w:rPr>
                <w:rFonts w:hint="eastAsia" w:asciiTheme="minorEastAsia" w:hAnsiTheme="minorEastAsia" w:eastAsiaTheme="minorEastAsia" w:cstheme="minorEastAsia"/>
                <w:color w:val="000000"/>
                <w:kern w:val="0"/>
                <w:sz w:val="18"/>
                <w:szCs w:val="18"/>
              </w:rPr>
            </w:pPr>
          </w:p>
          <w:p w14:paraId="12000EB2">
            <w:pPr>
              <w:widowControl/>
              <w:spacing w:line="440" w:lineRule="exact"/>
              <w:jc w:val="left"/>
              <w:rPr>
                <w:rFonts w:hint="eastAsia" w:asciiTheme="minorEastAsia" w:hAnsiTheme="minorEastAsia" w:eastAsiaTheme="minorEastAsia" w:cstheme="minorEastAsia"/>
                <w:color w:val="000000"/>
                <w:kern w:val="0"/>
                <w:sz w:val="18"/>
                <w:szCs w:val="18"/>
              </w:rPr>
            </w:pPr>
          </w:p>
          <w:p w14:paraId="24C049C5">
            <w:pPr>
              <w:widowControl/>
              <w:spacing w:line="440" w:lineRule="exact"/>
              <w:jc w:val="left"/>
              <w:rPr>
                <w:rFonts w:hint="eastAsia" w:asciiTheme="minorEastAsia" w:hAnsiTheme="minorEastAsia" w:eastAsiaTheme="minorEastAsia" w:cstheme="minorEastAsia"/>
                <w:color w:val="000000"/>
                <w:kern w:val="0"/>
                <w:sz w:val="18"/>
                <w:szCs w:val="18"/>
              </w:rPr>
            </w:pPr>
          </w:p>
          <w:p w14:paraId="284818D6">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复习常见物质的化学式书写，会对物质进行分类。</w:t>
            </w:r>
          </w:p>
          <w:p w14:paraId="49F21A55">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（元素观、分类观）</w:t>
            </w:r>
          </w:p>
          <w:p w14:paraId="388D4557">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根据流程，明确反应物和生成物，书写反应表达式</w:t>
            </w:r>
          </w:p>
          <w:p w14:paraId="122A8173">
            <w:pPr>
              <w:widowControl/>
              <w:spacing w:line="440" w:lineRule="exact"/>
              <w:jc w:val="left"/>
              <w:rPr>
                <w:rFonts w:hint="eastAsia" w:asciiTheme="minorEastAsia" w:hAnsiTheme="minorEastAsia" w:eastAsiaTheme="minorEastAsia" w:cstheme="minorEastAsia"/>
                <w:color w:val="000000"/>
                <w:kern w:val="0"/>
                <w:sz w:val="18"/>
                <w:szCs w:val="18"/>
              </w:rPr>
            </w:pPr>
          </w:p>
          <w:p w14:paraId="04A0C1B0">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根据氨气分子的构成，判断图例的含义，明确元素符号能表示原子；</w:t>
            </w:r>
          </w:p>
          <w:p w14:paraId="0CB0E78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rPr>
              <w:t>根据化学反应的微观本质，补充图形，体会化学变化的微观过程、分子原子在化学变化过程中的转化。</w:t>
            </w:r>
          </w:p>
          <w:p w14:paraId="13DD7849">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bidi="ar"/>
              </w:rPr>
              <w:t>三重表征物质的组成和结构、化学变化的本质。</w:t>
            </w:r>
          </w:p>
          <w:p w14:paraId="229CDF32">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反应前后元素不变（守恒观）</w:t>
            </w:r>
          </w:p>
          <w:p w14:paraId="09A12BED">
            <w:pPr>
              <w:widowControl/>
              <w:spacing w:line="440" w:lineRule="exact"/>
              <w:jc w:val="left"/>
              <w:rPr>
                <w:rFonts w:hint="eastAsia" w:asciiTheme="minorEastAsia" w:hAnsiTheme="minorEastAsia" w:eastAsiaTheme="minorEastAsia" w:cstheme="minorEastAsia"/>
                <w:color w:val="000000"/>
                <w:kern w:val="0"/>
                <w:sz w:val="18"/>
                <w:szCs w:val="18"/>
              </w:rPr>
            </w:pPr>
          </w:p>
          <w:p w14:paraId="6EE3BD6C">
            <w:pPr>
              <w:widowControl/>
              <w:spacing w:line="440" w:lineRule="exact"/>
              <w:jc w:val="left"/>
              <w:rPr>
                <w:rFonts w:hint="eastAsia" w:asciiTheme="minorEastAsia" w:hAnsiTheme="minorEastAsia" w:eastAsiaTheme="minorEastAsia" w:cstheme="minorEastAsia"/>
                <w:color w:val="000000"/>
                <w:kern w:val="0"/>
                <w:sz w:val="18"/>
                <w:szCs w:val="18"/>
              </w:rPr>
            </w:pPr>
          </w:p>
          <w:p w14:paraId="0405B958">
            <w:pPr>
              <w:widowControl/>
              <w:spacing w:line="440" w:lineRule="exact"/>
              <w:jc w:val="left"/>
              <w:rPr>
                <w:rFonts w:hint="eastAsia" w:asciiTheme="minorEastAsia" w:hAnsiTheme="minorEastAsia" w:eastAsiaTheme="minorEastAsia" w:cstheme="minorEastAsia"/>
                <w:color w:val="000000"/>
                <w:kern w:val="0"/>
                <w:sz w:val="18"/>
                <w:szCs w:val="18"/>
              </w:rPr>
            </w:pPr>
          </w:p>
          <w:p w14:paraId="26CBBDCA">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通过计算，确定化学式</w:t>
            </w:r>
          </w:p>
          <w:p w14:paraId="6D5D45D1">
            <w:pPr>
              <w:widowControl/>
              <w:spacing w:line="440" w:lineRule="exact"/>
              <w:jc w:val="left"/>
              <w:rPr>
                <w:rFonts w:hint="eastAsia" w:asciiTheme="minorEastAsia" w:hAnsiTheme="minorEastAsia" w:eastAsiaTheme="minorEastAsia" w:cstheme="minorEastAsia"/>
                <w:color w:val="000000"/>
                <w:kern w:val="0"/>
                <w:sz w:val="18"/>
                <w:szCs w:val="18"/>
              </w:rPr>
            </w:pPr>
          </w:p>
          <w:p w14:paraId="02F507DA">
            <w:pPr>
              <w:widowControl/>
              <w:spacing w:line="440" w:lineRule="exact"/>
              <w:jc w:val="left"/>
              <w:rPr>
                <w:rFonts w:hint="eastAsia" w:asciiTheme="minorEastAsia" w:hAnsiTheme="minorEastAsia" w:eastAsiaTheme="minorEastAsia" w:cstheme="minorEastAsia"/>
                <w:color w:val="000000"/>
                <w:kern w:val="0"/>
                <w:sz w:val="18"/>
                <w:szCs w:val="18"/>
              </w:rPr>
            </w:pPr>
          </w:p>
          <w:p w14:paraId="37F368C2">
            <w:pPr>
              <w:widowControl/>
              <w:spacing w:line="440" w:lineRule="exact"/>
              <w:jc w:val="left"/>
              <w:rPr>
                <w:rFonts w:hint="eastAsia" w:asciiTheme="minorEastAsia" w:hAnsiTheme="minorEastAsia" w:eastAsiaTheme="minorEastAsia" w:cstheme="minorEastAsia"/>
                <w:color w:val="000000"/>
                <w:kern w:val="0"/>
                <w:sz w:val="18"/>
                <w:szCs w:val="18"/>
              </w:rPr>
            </w:pPr>
          </w:p>
          <w:p w14:paraId="52022102">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构建模型，总结方法</w:t>
            </w:r>
          </w:p>
          <w:p w14:paraId="3FBC386A">
            <w:pPr>
              <w:widowControl/>
              <w:spacing w:line="440" w:lineRule="exact"/>
              <w:jc w:val="left"/>
              <w:rPr>
                <w:rFonts w:hint="eastAsia" w:asciiTheme="minorEastAsia" w:hAnsiTheme="minorEastAsia" w:eastAsiaTheme="minorEastAsia" w:cstheme="minorEastAsia"/>
                <w:color w:val="000000"/>
                <w:kern w:val="0"/>
                <w:sz w:val="18"/>
                <w:szCs w:val="18"/>
              </w:rPr>
            </w:pPr>
          </w:p>
          <w:p w14:paraId="2DC1C637">
            <w:pPr>
              <w:widowControl/>
              <w:spacing w:line="440" w:lineRule="exact"/>
              <w:jc w:val="left"/>
              <w:rPr>
                <w:rFonts w:hint="eastAsia" w:asciiTheme="minorEastAsia" w:hAnsiTheme="minorEastAsia" w:eastAsiaTheme="minorEastAsia" w:cstheme="minorEastAsia"/>
                <w:color w:val="000000"/>
                <w:kern w:val="0"/>
                <w:sz w:val="18"/>
                <w:szCs w:val="18"/>
              </w:rPr>
            </w:pPr>
          </w:p>
          <w:p w14:paraId="41DC8C36">
            <w:pPr>
              <w:widowControl/>
              <w:spacing w:line="440" w:lineRule="exact"/>
              <w:jc w:val="left"/>
              <w:rPr>
                <w:rFonts w:hint="eastAsia" w:asciiTheme="minorEastAsia" w:hAnsiTheme="minorEastAsia" w:eastAsiaTheme="minorEastAsia" w:cstheme="minorEastAsia"/>
                <w:color w:val="000000"/>
                <w:kern w:val="0"/>
                <w:sz w:val="18"/>
                <w:szCs w:val="18"/>
              </w:rPr>
            </w:pPr>
          </w:p>
          <w:p w14:paraId="2B9106B1">
            <w:pPr>
              <w:widowControl/>
              <w:spacing w:line="440" w:lineRule="exact"/>
              <w:jc w:val="left"/>
              <w:rPr>
                <w:rFonts w:hint="eastAsia" w:asciiTheme="minorEastAsia" w:hAnsiTheme="minorEastAsia" w:eastAsiaTheme="minorEastAsia" w:cstheme="minorEastAsia"/>
                <w:color w:val="000000"/>
                <w:kern w:val="0"/>
                <w:sz w:val="18"/>
                <w:szCs w:val="18"/>
              </w:rPr>
            </w:pPr>
          </w:p>
          <w:p w14:paraId="6DF2377F">
            <w:pPr>
              <w:widowControl/>
              <w:spacing w:line="440" w:lineRule="exact"/>
              <w:jc w:val="left"/>
              <w:rPr>
                <w:rFonts w:hint="eastAsia" w:asciiTheme="minorEastAsia" w:hAnsiTheme="minorEastAsia" w:eastAsiaTheme="minorEastAsia" w:cstheme="minorEastAsia"/>
                <w:color w:val="000000"/>
                <w:kern w:val="0"/>
                <w:sz w:val="18"/>
                <w:szCs w:val="18"/>
              </w:rPr>
            </w:pPr>
          </w:p>
          <w:p w14:paraId="7CDD9496">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依据化学式，明确含义和相关计算。</w:t>
            </w:r>
          </w:p>
          <w:p w14:paraId="2BA278CB">
            <w:pPr>
              <w:widowControl/>
              <w:spacing w:line="440" w:lineRule="exact"/>
              <w:jc w:val="left"/>
              <w:rPr>
                <w:rFonts w:hint="eastAsia" w:asciiTheme="minorEastAsia" w:hAnsiTheme="minorEastAsia" w:eastAsiaTheme="minorEastAsia" w:cstheme="minorEastAsia"/>
                <w:color w:val="000000"/>
                <w:kern w:val="0"/>
                <w:sz w:val="18"/>
                <w:szCs w:val="18"/>
              </w:rPr>
            </w:pPr>
          </w:p>
          <w:p w14:paraId="234781C9">
            <w:pPr>
              <w:widowControl/>
              <w:spacing w:line="440" w:lineRule="exact"/>
              <w:jc w:val="left"/>
              <w:rPr>
                <w:rFonts w:hint="eastAsia" w:asciiTheme="minorEastAsia" w:hAnsiTheme="minorEastAsia" w:eastAsiaTheme="minorEastAsia" w:cstheme="minorEastAsia"/>
                <w:color w:val="000000"/>
                <w:kern w:val="0"/>
                <w:sz w:val="18"/>
                <w:szCs w:val="18"/>
              </w:rPr>
            </w:pPr>
          </w:p>
          <w:p w14:paraId="5A34A66A">
            <w:pPr>
              <w:widowControl/>
              <w:spacing w:line="440" w:lineRule="exact"/>
              <w:jc w:val="left"/>
              <w:rPr>
                <w:rFonts w:hint="eastAsia" w:asciiTheme="minorEastAsia" w:hAnsiTheme="minorEastAsia" w:eastAsiaTheme="minorEastAsia" w:cstheme="minorEastAsia"/>
                <w:color w:val="000000"/>
                <w:kern w:val="0"/>
                <w:sz w:val="18"/>
                <w:szCs w:val="18"/>
              </w:rPr>
            </w:pPr>
          </w:p>
          <w:p w14:paraId="1FF47671">
            <w:pPr>
              <w:widowControl/>
              <w:spacing w:line="440" w:lineRule="exact"/>
              <w:jc w:val="left"/>
              <w:rPr>
                <w:rFonts w:hint="eastAsia" w:asciiTheme="minorEastAsia" w:hAnsiTheme="minorEastAsia" w:eastAsiaTheme="minorEastAsia" w:cstheme="minorEastAsia"/>
                <w:color w:val="000000"/>
                <w:kern w:val="0"/>
                <w:sz w:val="18"/>
                <w:szCs w:val="18"/>
              </w:rPr>
            </w:pPr>
          </w:p>
          <w:p w14:paraId="3F265152">
            <w:pPr>
              <w:widowControl/>
              <w:spacing w:line="440" w:lineRule="exact"/>
              <w:jc w:val="left"/>
              <w:rPr>
                <w:rFonts w:hint="eastAsia" w:asciiTheme="minorEastAsia" w:hAnsiTheme="minorEastAsia" w:eastAsiaTheme="minorEastAsia" w:cstheme="minorEastAsia"/>
                <w:color w:val="000000"/>
                <w:kern w:val="0"/>
                <w:sz w:val="18"/>
                <w:szCs w:val="18"/>
              </w:rPr>
            </w:pPr>
          </w:p>
          <w:p w14:paraId="70267095">
            <w:pPr>
              <w:widowControl/>
              <w:spacing w:line="440" w:lineRule="exact"/>
              <w:jc w:val="left"/>
              <w:rPr>
                <w:rFonts w:hint="eastAsia" w:asciiTheme="minorEastAsia" w:hAnsiTheme="minorEastAsia" w:eastAsiaTheme="minorEastAsia" w:cstheme="minorEastAsia"/>
                <w:color w:val="000000"/>
                <w:kern w:val="0"/>
                <w:sz w:val="18"/>
                <w:szCs w:val="18"/>
              </w:rPr>
            </w:pPr>
          </w:p>
          <w:p w14:paraId="3E08F85B">
            <w:pPr>
              <w:widowControl/>
              <w:spacing w:line="440" w:lineRule="exact"/>
              <w:jc w:val="left"/>
              <w:rPr>
                <w:rFonts w:hint="eastAsia" w:asciiTheme="minorEastAsia" w:hAnsiTheme="minorEastAsia" w:eastAsiaTheme="minorEastAsia" w:cstheme="minorEastAsia"/>
                <w:color w:val="000000"/>
                <w:kern w:val="0"/>
                <w:sz w:val="18"/>
                <w:szCs w:val="18"/>
              </w:rPr>
            </w:pPr>
          </w:p>
          <w:p w14:paraId="33780496">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认识标签，明确含义</w:t>
            </w:r>
          </w:p>
          <w:p w14:paraId="166D6E70">
            <w:pPr>
              <w:widowControl/>
              <w:spacing w:line="440" w:lineRule="exact"/>
              <w:jc w:val="left"/>
              <w:rPr>
                <w:rFonts w:hint="eastAsia" w:asciiTheme="minorEastAsia" w:hAnsiTheme="minorEastAsia" w:eastAsiaTheme="minorEastAsia" w:cstheme="minorEastAsia"/>
                <w:color w:val="000000"/>
                <w:kern w:val="0"/>
                <w:sz w:val="18"/>
                <w:szCs w:val="18"/>
              </w:rPr>
            </w:pPr>
          </w:p>
          <w:p w14:paraId="5D80FCF4">
            <w:pPr>
              <w:widowControl/>
              <w:spacing w:line="440" w:lineRule="exact"/>
              <w:jc w:val="left"/>
              <w:rPr>
                <w:rFonts w:hint="eastAsia" w:asciiTheme="minorEastAsia" w:hAnsiTheme="minorEastAsia" w:eastAsiaTheme="minorEastAsia" w:cstheme="minorEastAsia"/>
                <w:color w:val="000000"/>
                <w:kern w:val="0"/>
                <w:sz w:val="18"/>
                <w:szCs w:val="18"/>
              </w:rPr>
            </w:pPr>
          </w:p>
          <w:p w14:paraId="3C5381B8">
            <w:pPr>
              <w:widowControl/>
              <w:spacing w:line="440" w:lineRule="exact"/>
              <w:jc w:val="left"/>
              <w:rPr>
                <w:rFonts w:hint="eastAsia" w:asciiTheme="minorEastAsia" w:hAnsiTheme="minorEastAsia" w:eastAsiaTheme="minorEastAsia" w:cstheme="minorEastAsia"/>
                <w:color w:val="000000"/>
                <w:kern w:val="0"/>
                <w:sz w:val="18"/>
                <w:szCs w:val="18"/>
              </w:rPr>
            </w:pPr>
          </w:p>
          <w:p w14:paraId="0A2FB582">
            <w:pPr>
              <w:widowControl/>
              <w:spacing w:line="440" w:lineRule="exact"/>
              <w:jc w:val="left"/>
              <w:rPr>
                <w:rFonts w:hint="eastAsia" w:asciiTheme="minorEastAsia" w:hAnsiTheme="minorEastAsia" w:eastAsiaTheme="minorEastAsia" w:cstheme="minorEastAsia"/>
                <w:color w:val="000000"/>
                <w:kern w:val="0"/>
                <w:sz w:val="18"/>
                <w:szCs w:val="18"/>
              </w:rPr>
            </w:pPr>
          </w:p>
          <w:p w14:paraId="11211008">
            <w:pPr>
              <w:widowControl/>
              <w:spacing w:line="440" w:lineRule="exact"/>
              <w:jc w:val="left"/>
              <w:rPr>
                <w:rFonts w:hint="eastAsia" w:asciiTheme="minorEastAsia" w:hAnsiTheme="minorEastAsia" w:eastAsiaTheme="minorEastAsia" w:cstheme="minorEastAsia"/>
                <w:color w:val="000000"/>
                <w:kern w:val="0"/>
                <w:sz w:val="18"/>
                <w:szCs w:val="18"/>
              </w:rPr>
            </w:pPr>
          </w:p>
          <w:p w14:paraId="06904546">
            <w:pPr>
              <w:widowControl/>
              <w:spacing w:line="440" w:lineRule="exact"/>
              <w:jc w:val="lef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借助有关化学式的定量计算，解决实际问题。</w:t>
            </w:r>
          </w:p>
          <w:p w14:paraId="3B88F7E8">
            <w:pPr>
              <w:widowControl/>
              <w:spacing w:line="440" w:lineRule="exact"/>
              <w:rPr>
                <w:rFonts w:hint="eastAsia" w:asciiTheme="minorEastAsia" w:hAnsiTheme="minorEastAsia" w:eastAsiaTheme="minorEastAsia" w:cstheme="minorEastAsia"/>
                <w:color w:val="000000"/>
                <w:kern w:val="0"/>
                <w:sz w:val="18"/>
                <w:szCs w:val="18"/>
              </w:rPr>
            </w:pPr>
          </w:p>
          <w:p w14:paraId="793DD308">
            <w:pPr>
              <w:widowControl/>
              <w:spacing w:line="440" w:lineRule="exact"/>
              <w:rPr>
                <w:rFonts w:hint="eastAsia" w:asciiTheme="minorEastAsia" w:hAnsiTheme="minorEastAsia" w:eastAsiaTheme="minorEastAsia" w:cstheme="minorEastAsia"/>
                <w:color w:val="000000"/>
                <w:kern w:val="0"/>
                <w:sz w:val="18"/>
                <w:szCs w:val="18"/>
              </w:rPr>
            </w:pPr>
          </w:p>
          <w:p w14:paraId="79430109">
            <w:pPr>
              <w:widowControl/>
              <w:spacing w:line="440" w:lineRule="exact"/>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感受物质应用，赞赏化学对改善人类生活和促进社会发展的积极作用</w:t>
            </w:r>
          </w:p>
        </w:tc>
      </w:tr>
      <w:tr w14:paraId="4E6A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891" w:type="dxa"/>
          </w:tcPr>
          <w:p w14:paraId="4B3E8EE3">
            <w:pPr>
              <w:widowControl/>
              <w:spacing w:line="440" w:lineRule="exact"/>
              <w:jc w:val="left"/>
              <w:rPr>
                <w:rFonts w:hint="eastAsia"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课堂总结</w:t>
            </w:r>
          </w:p>
          <w:p w14:paraId="5D41BCCB">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通过本节课学习，你有哪些收获？</w:t>
            </w:r>
          </w:p>
        </w:tc>
        <w:tc>
          <w:tcPr>
            <w:tcW w:w="1546" w:type="dxa"/>
          </w:tcPr>
          <w:p w14:paraId="3998ED07">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归纳总结</w:t>
            </w:r>
          </w:p>
        </w:tc>
        <w:tc>
          <w:tcPr>
            <w:tcW w:w="1835" w:type="dxa"/>
          </w:tcPr>
          <w:p w14:paraId="1470AB7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构建知识体系</w:t>
            </w:r>
          </w:p>
        </w:tc>
      </w:tr>
      <w:tr w14:paraId="3F25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891" w:type="dxa"/>
          </w:tcPr>
          <w:p w14:paraId="0D163D2E">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【结尾】</w:t>
            </w:r>
          </w:p>
          <w:p w14:paraId="3CA71673">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推进化肥减量增效</w:t>
            </w:r>
          </w:p>
          <w:p w14:paraId="47A012BB">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推进农业绿色发展全过程转型</w:t>
            </w:r>
          </w:p>
          <w:p w14:paraId="008409F9">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努力构建人与自然和谐共生的农业发展新格局</w:t>
            </w:r>
          </w:p>
        </w:tc>
        <w:tc>
          <w:tcPr>
            <w:tcW w:w="1546" w:type="dxa"/>
          </w:tcPr>
          <w:p w14:paraId="62ABCE37">
            <w:pPr>
              <w:widowControl/>
              <w:spacing w:line="440" w:lineRule="exact"/>
              <w:jc w:val="left"/>
              <w:rPr>
                <w:rFonts w:hint="eastAsia" w:asciiTheme="minorEastAsia" w:hAnsiTheme="minorEastAsia" w:eastAsiaTheme="minorEastAsia" w:cstheme="minorEastAsia"/>
                <w:color w:val="000000"/>
                <w:kern w:val="0"/>
                <w:sz w:val="18"/>
                <w:szCs w:val="18"/>
                <w:lang w:bidi="ar"/>
              </w:rPr>
            </w:pPr>
          </w:p>
        </w:tc>
        <w:tc>
          <w:tcPr>
            <w:tcW w:w="1835" w:type="dxa"/>
          </w:tcPr>
          <w:p w14:paraId="5944CCBD">
            <w:pPr>
              <w:widowControl/>
              <w:spacing w:line="440" w:lineRule="exact"/>
              <w:jc w:val="left"/>
              <w:rPr>
                <w:rFonts w:hint="eastAsia"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shd w:val="clear" w:color="auto" w:fill="FDFDFE"/>
              </w:rPr>
              <w:t>深入理解总体国家安全观的丰富内涵，自觉增强安全意识，培养绿色环保、可持续发展的理念。</w:t>
            </w:r>
          </w:p>
        </w:tc>
      </w:tr>
    </w:tbl>
    <w:p w14:paraId="12ADF30A">
      <w:pPr>
        <w:jc w:val="left"/>
        <w:rPr>
          <w:rFonts w:hint="eastAsia" w:ascii="黑体" w:hAnsi="黑体" w:eastAsia="黑体" w:cs="黑体"/>
          <w:b/>
          <w:bCs/>
          <w:color w:val="000000"/>
          <w:szCs w:val="21"/>
        </w:rPr>
      </w:pPr>
      <w:r>
        <w:rPr>
          <w:rFonts w:hint="eastAsia" w:ascii="黑体" w:hAnsi="黑体" w:eastAsia="黑体" w:cs="黑体"/>
          <w:b/>
          <w:bCs/>
          <w:color w:val="000000"/>
          <w:szCs w:val="21"/>
        </w:rPr>
        <w:t>七、板书设计</w:t>
      </w:r>
    </w:p>
    <w:p w14:paraId="4A3BF18A">
      <w:pPr>
        <w:jc w:val="center"/>
        <w:rPr>
          <w:color w:val="000000"/>
          <w:szCs w:val="21"/>
        </w:rPr>
      </w:pPr>
      <w:r>
        <w:rPr>
          <w:color w:val="000000"/>
          <w:szCs w:val="21"/>
        </w:rPr>
        <w:drawing>
          <wp:inline distT="0" distB="0" distL="0" distR="0">
            <wp:extent cx="3167380" cy="18948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67380" cy="1894840"/>
                    </a:xfrm>
                    <a:prstGeom prst="rect">
                      <a:avLst/>
                    </a:prstGeom>
                    <a:noFill/>
                    <a:ln>
                      <a:noFill/>
                    </a:ln>
                    <a:effectLst/>
                  </pic:spPr>
                </pic:pic>
              </a:graphicData>
            </a:graphic>
          </wp:inline>
        </w:drawing>
      </w:r>
    </w:p>
    <w:p w14:paraId="20E01739">
      <w:pPr>
        <w:numPr>
          <w:ilvl w:val="0"/>
          <w:numId w:val="2"/>
        </w:numPr>
        <w:jc w:val="left"/>
        <w:rPr>
          <w:rFonts w:ascii="黑体" w:hAnsi="黑体" w:eastAsia="黑体" w:cs="黑体"/>
          <w:b/>
          <w:bCs/>
          <w:color w:val="000000"/>
          <w:szCs w:val="21"/>
        </w:rPr>
      </w:pPr>
      <w:r>
        <w:rPr>
          <w:rFonts w:hint="eastAsia" w:ascii="黑体" w:hAnsi="黑体" w:eastAsia="黑体" w:cs="黑体"/>
          <w:b/>
          <w:bCs/>
          <w:color w:val="000000"/>
          <w:szCs w:val="21"/>
        </w:rPr>
        <w:t>教学反思</w:t>
      </w:r>
    </w:p>
    <w:p w14:paraId="7616885F">
      <w:pPr>
        <w:ind w:firstLine="420"/>
      </w:pPr>
      <w:r>
        <w:rPr>
          <w:rFonts w:hint="eastAsia"/>
        </w:rPr>
        <w:t>本节课将化学知识融于合成尿素的情境载体中，培养学生从多角度探究物质和变化规律，感受尿素在工农业生产中的用途和利弊，培养学生的辩证和批判性思维，增强环保安全意识。教学设计基于这样一个思考：“为什么要学习化学？怎样学习化学？学习化学有什么用？”</w:t>
      </w:r>
    </w:p>
    <w:p w14:paraId="4E380E88">
      <w:pPr>
        <w:ind w:firstLine="420"/>
      </w:pPr>
      <w:r>
        <w:rPr>
          <w:rFonts w:hint="eastAsia"/>
        </w:rPr>
        <w:t>学习化学可以帮助我们正确认识物质。物质是由元素组成的，是由分子、原子、离子等微观粒子构成的，这些微观粒子之间可以相互转化；物质之间是能够相互转化的，化学变化的本质是原子重组；化学式能真实地反映物质的组成情况等。</w:t>
      </w:r>
    </w:p>
    <w:p w14:paraId="5BA5A46A">
      <w:pPr>
        <w:ind w:firstLine="420"/>
      </w:pPr>
      <w:r>
        <w:rPr>
          <w:rFonts w:hint="eastAsia"/>
        </w:rPr>
        <w:t>学习化学可以运用的比较、分类、分析、综合、归纳等科学方法来解决化学问题；可以从宏观、微观、符号相结合、定性和定量相结合的视角来探究物质及其变化规律；可以从基于实验事实进行证据推理、建构模型并推测物质及其变化等。</w:t>
      </w:r>
    </w:p>
    <w:p w14:paraId="373DF2EA">
      <w:pPr>
        <w:ind w:firstLine="420"/>
      </w:pPr>
      <w:r>
        <w:rPr>
          <w:rFonts w:hint="eastAsia"/>
        </w:rPr>
        <w:t>学习化学可以让我们认识到物质是可以人工合成的。从简单的化合物到复杂的有机化合物，科学家们通过精确的反应条件和合成路径，不断创造出新物质。这一过程不仅推动了科技进步，也为人类社会的发展带来了无限可能。学习化学可以帮助我们解决实际问题，对科学认识和合理利用物质、提升人们生活品质有着重要的作用。</w:t>
      </w:r>
    </w:p>
    <w:p w14:paraId="4C83D7F0">
      <w:pPr>
        <w:ind w:firstLine="420"/>
        <w:rPr>
          <w:rFonts w:hint="eastAsia"/>
        </w:rPr>
      </w:pPr>
      <w:r>
        <w:rPr>
          <w:rFonts w:hint="eastAsia"/>
        </w:rPr>
        <w:t>在课堂中我们不仅传授专业知识，更要将思政教育有机融入到课堂教学中。乡村要振兴，农业必发展。本节课以“要加快建设农业强国，全方位夯实粮食安全根基，确保中国人的饭碗牢牢端在自己手中”的号召为引领，激发学生的爱国情怀与责任感。以“推进化肥减量增效，推进农业绿色发展全过程转型，努力构建人与自然和谐共生的农业发展新格局”的愿景为结尾，唤起学生对生态环境的关注，深入理解总体国家安全观的丰富内涵，培养他们成为具有家国情怀、绿色发展理念的新时代青年。这样的教学实践，旨在让学生在学习专业知识的同时，树立正确的世界观、人生观和价值观，增强国家安全意识和社会责任感，为实现中华民族伟大复兴的中国梦贡献力量。</w:t>
      </w:r>
    </w:p>
    <w:p w14:paraId="2A818EA7">
      <w:pPr>
        <w:jc w:val="left"/>
        <w:rPr>
          <w:rFonts w:hint="eastAsia"/>
          <w:b/>
          <w:szCs w:val="21"/>
        </w:rPr>
      </w:pPr>
    </w:p>
    <w:p w14:paraId="630BC2CA">
      <w:pPr>
        <w:keepNext w:val="0"/>
        <w:keepLines w:val="0"/>
        <w:widowControl/>
        <w:suppressLineNumbers w:val="0"/>
        <w:jc w:val="left"/>
        <w:rPr>
          <w:szCs w:val="21"/>
        </w:rPr>
      </w:pPr>
      <w:r>
        <w:rPr>
          <w:rFonts w:hint="eastAsia"/>
          <w:b/>
          <w:szCs w:val="21"/>
        </w:rPr>
        <w:t>案例</w:t>
      </w:r>
      <w:r>
        <w:rPr>
          <w:rFonts w:hint="eastAsia"/>
          <w:b/>
          <w:szCs w:val="21"/>
          <w:lang w:val="en-US" w:eastAsia="zh-CN"/>
        </w:rPr>
        <w:t xml:space="preserve">2 </w:t>
      </w:r>
      <w:r>
        <w:rPr>
          <w:rFonts w:hint="eastAsia"/>
          <w:b/>
          <w:szCs w:val="21"/>
        </w:rPr>
        <w:t>正衡中学艾璐等老师</w:t>
      </w:r>
      <w:r>
        <w:rPr>
          <w:rFonts w:hint="eastAsia"/>
          <w:b/>
        </w:rPr>
        <w:t>基于学科核心素养指向下的初中化学单元教学设计</w:t>
      </w:r>
      <w:r>
        <w:rPr>
          <w:rFonts w:hint="eastAsia"/>
          <w:b/>
          <w:bCs w:val="0"/>
        </w:rPr>
        <w:t>（已发表</w:t>
      </w:r>
      <w:r>
        <w:rPr>
          <w:rFonts w:hint="eastAsia" w:asciiTheme="minorEastAsia" w:hAnsiTheme="minorEastAsia" w:cstheme="minorEastAsia"/>
          <w:b/>
          <w:bCs w:val="0"/>
          <w:lang w:val="en-US" w:eastAsia="zh-CN"/>
        </w:rPr>
        <w:t>《化学教学》中文核心期刊上</w:t>
      </w:r>
      <w:r>
        <w:rPr>
          <w:rFonts w:hint="eastAsia"/>
          <w:b/>
          <w:bCs w:val="0"/>
        </w:rPr>
        <w:t>）</w:t>
      </w:r>
    </w:p>
    <w:p w14:paraId="77B89B75">
      <w:pPr>
        <w:keepNext w:val="0"/>
        <w:keepLines w:val="0"/>
        <w:widowControl/>
        <w:suppressLineNumbers w:val="0"/>
        <w:jc w:val="center"/>
        <w:rPr>
          <w:rFonts w:ascii="黑体" w:hAnsi="黑体" w:eastAsia="黑体" w:cs="黑体"/>
          <w:szCs w:val="21"/>
        </w:rPr>
      </w:pPr>
      <w:r>
        <w:rPr>
          <w:rFonts w:hint="eastAsia" w:ascii="黑体" w:hAnsi="黑体" w:eastAsia="黑体" w:cs="黑体"/>
          <w:szCs w:val="21"/>
        </w:rPr>
        <w:t>“莫尔盐专题”复习课教学设计</w:t>
      </w:r>
    </w:p>
    <w:p w14:paraId="0E5DCA2E">
      <w:pPr>
        <w:jc w:val="center"/>
        <w:rPr>
          <w:rFonts w:ascii="楷体" w:hAnsi="楷体" w:eastAsia="楷体" w:cstheme="minorEastAsia"/>
          <w:szCs w:val="21"/>
        </w:rPr>
      </w:pPr>
      <w:r>
        <w:rPr>
          <w:rFonts w:hint="eastAsia" w:ascii="楷体" w:hAnsi="楷体" w:eastAsia="楷体" w:cstheme="minorEastAsia"/>
          <w:szCs w:val="21"/>
        </w:rPr>
        <w:t xml:space="preserve">常州市正衡中学 </w:t>
      </w:r>
      <w:r>
        <w:rPr>
          <w:rFonts w:ascii="楷体" w:hAnsi="楷体" w:eastAsia="楷体" w:cstheme="minorEastAsia"/>
          <w:szCs w:val="21"/>
        </w:rPr>
        <w:t xml:space="preserve"> </w:t>
      </w:r>
      <w:r>
        <w:rPr>
          <w:rFonts w:hint="eastAsia" w:ascii="楷体" w:hAnsi="楷体" w:eastAsia="楷体" w:cstheme="minorEastAsia"/>
          <w:szCs w:val="21"/>
        </w:rPr>
        <w:t>艾璐；常州经开区教师发展中心 董新伟</w:t>
      </w:r>
    </w:p>
    <w:p w14:paraId="724F8A56">
      <w:pPr>
        <w:rPr>
          <w:rFonts w:ascii="黑体" w:hAnsi="黑体" w:eastAsia="黑体" w:cs="黑体"/>
          <w:color w:val="000000"/>
          <w:sz w:val="21"/>
          <w:szCs w:val="21"/>
        </w:rPr>
      </w:pPr>
      <w:r>
        <w:rPr>
          <w:rFonts w:hint="eastAsia" w:ascii="黑体" w:hAnsi="黑体" w:eastAsia="黑体" w:cs="黑体"/>
          <w:color w:val="000000"/>
          <w:sz w:val="21"/>
          <w:szCs w:val="21"/>
        </w:rPr>
        <w:t>1 基于大概念的单元教学内容开发</w:t>
      </w:r>
    </w:p>
    <w:p w14:paraId="37481C97">
      <w:pPr>
        <w:keepNext w:val="0"/>
        <w:keepLines w:val="0"/>
        <w:pageBreakBefore w:val="0"/>
        <w:widowControl w:val="0"/>
        <w:tabs>
          <w:tab w:val="left" w:pos="6510"/>
        </w:tabs>
        <w:kinsoku/>
        <w:wordWrap/>
        <w:overflowPunct/>
        <w:topLinePunct w:val="0"/>
        <w:autoSpaceDE/>
        <w:autoSpaceDN/>
        <w:bidi w:val="0"/>
        <w:adjustRightInd/>
        <w:snapToGrid/>
        <w:ind w:firstLine="420" w:firstLineChars="200"/>
        <w:textAlignment w:val="auto"/>
        <w:rPr>
          <w:rFonts w:ascii="黑体" w:hAnsi="黑体" w:eastAsia="黑体" w:cs="黑体"/>
          <w:color w:val="000000"/>
          <w:sz w:val="18"/>
          <w:szCs w:val="18"/>
        </w:rPr>
      </w:pPr>
      <w:r>
        <w:rPr>
          <w:rFonts w:ascii="宋体" w:hAnsi="宋体" w:cs="宋体"/>
          <w:color w:val="000000"/>
          <w:szCs w:val="21"/>
        </w:rPr>
        <w:t>化学单元大概念是</w:t>
      </w:r>
      <w:r>
        <w:rPr>
          <w:rFonts w:hint="eastAsia" w:ascii="宋体" w:hAnsi="宋体" w:cs="宋体"/>
          <w:color w:val="000000"/>
          <w:szCs w:val="21"/>
        </w:rPr>
        <w:t>化学学科大概念</w:t>
      </w:r>
      <w:r>
        <w:rPr>
          <w:rFonts w:hint="eastAsia"/>
          <w:szCs w:val="21"/>
        </w:rPr>
        <w:t>从课标到教材再到教学的转化产物</w:t>
      </w:r>
      <w:r>
        <w:rPr>
          <w:rFonts w:hint="eastAsia" w:ascii="宋体" w:hAnsi="宋体" w:cs="宋体"/>
          <w:szCs w:val="21"/>
          <w:vertAlign w:val="superscript"/>
        </w:rPr>
        <w:t>[4]</w:t>
      </w:r>
      <w:r>
        <w:rPr>
          <w:rFonts w:ascii="宋体" w:hAnsi="宋体" w:cs="宋体"/>
          <w:color w:val="000000"/>
          <w:szCs w:val="21"/>
        </w:rPr>
        <w:t>，是化学学科大概念的次级大概念</w:t>
      </w:r>
      <w:r>
        <w:rPr>
          <w:rFonts w:hint="eastAsia" w:asciiTheme="minorEastAsia" w:hAnsiTheme="minorEastAsia" w:eastAsiaTheme="minorEastAsia" w:cstheme="minorEastAsia"/>
          <w:color w:val="000000"/>
          <w:szCs w:val="21"/>
          <w:vertAlign w:val="superscript"/>
        </w:rPr>
        <w:t>[</w:t>
      </w:r>
      <w:r>
        <w:rPr>
          <w:rFonts w:hint="eastAsia" w:asciiTheme="minorEastAsia" w:hAnsiTheme="minorEastAsia" w:eastAsiaTheme="minorEastAsia" w:cstheme="minorEastAsia"/>
          <w:color w:val="000000"/>
          <w:szCs w:val="21"/>
          <w:vertAlign w:val="superscript"/>
          <w:lang w:val="en-US" w:eastAsia="zh-CN"/>
        </w:rPr>
        <w:t>5</w:t>
      </w:r>
      <w:r>
        <w:rPr>
          <w:rFonts w:hint="eastAsia" w:asciiTheme="minorEastAsia" w:hAnsiTheme="minorEastAsia" w:eastAsiaTheme="minorEastAsia" w:cstheme="minorEastAsia"/>
          <w:color w:val="000000"/>
          <w:szCs w:val="21"/>
          <w:vertAlign w:val="superscript"/>
        </w:rPr>
        <w:t>]</w:t>
      </w:r>
      <w:r>
        <w:rPr>
          <w:rFonts w:ascii="宋体" w:hAnsi="宋体" w:cs="宋体"/>
          <w:color w:val="000000"/>
          <w:szCs w:val="21"/>
        </w:rPr>
        <w:t>。</w:t>
      </w:r>
      <w:r>
        <w:rPr>
          <w:rFonts w:hint="eastAsia" w:ascii="宋体" w:hAnsi="宋体" w:cs="宋体"/>
          <w:color w:val="000000"/>
          <w:szCs w:val="21"/>
        </w:rPr>
        <w:t>自主单元大概念的提炼，需要教师将单元</w:t>
      </w:r>
      <w:r>
        <w:rPr>
          <w:rFonts w:hint="eastAsia"/>
          <w:szCs w:val="21"/>
        </w:rPr>
        <w:t>教学内容与</w:t>
      </w:r>
      <w:r>
        <w:rPr>
          <w:rFonts w:hint="eastAsia" w:ascii="宋体" w:hAnsi="宋体" w:cs="宋体"/>
          <w:szCs w:val="21"/>
        </w:rPr>
        <w:t>2022版课标</w:t>
      </w:r>
      <w:r>
        <w:rPr>
          <w:rFonts w:hint="eastAsia" w:ascii="宋体" w:hAnsi="宋体" w:cs="宋体"/>
          <w:szCs w:val="21"/>
          <w:lang w:val="en-US" w:eastAsia="zh-CN"/>
        </w:rPr>
        <w:t>中</w:t>
      </w:r>
      <w:r>
        <w:rPr>
          <w:rFonts w:hint="eastAsia" w:ascii="宋体" w:hAnsi="宋体" w:cs="宋体"/>
          <w:szCs w:val="21"/>
        </w:rPr>
        <w:t>5</w:t>
      </w:r>
      <w:r>
        <w:rPr>
          <w:rFonts w:ascii="Times New Roman" w:hAnsi="Times New Roman"/>
          <w:szCs w:val="21"/>
        </w:rPr>
        <w:t>个化学主题</w:t>
      </w:r>
      <w:r>
        <w:rPr>
          <w:rFonts w:hint="eastAsia" w:ascii="宋体" w:hAnsi="宋体" w:cs="宋体"/>
          <w:szCs w:val="21"/>
        </w:rPr>
        <w:t>的BCMAP内容</w:t>
      </w:r>
      <w:r>
        <w:rPr>
          <w:rFonts w:hint="eastAsia" w:ascii="宋体" w:hAnsi="宋体" w:cs="宋体"/>
          <w:szCs w:val="21"/>
          <w:vertAlign w:val="superscript"/>
        </w:rPr>
        <w:t>[</w:t>
      </w:r>
      <w:r>
        <w:rPr>
          <w:rFonts w:hint="eastAsia" w:ascii="宋体" w:hAnsi="宋体" w:cs="宋体"/>
          <w:szCs w:val="21"/>
          <w:vertAlign w:val="superscript"/>
          <w:lang w:val="en-US" w:eastAsia="zh-CN"/>
        </w:rPr>
        <w:t>6</w:t>
      </w:r>
      <w:r>
        <w:rPr>
          <w:rFonts w:hint="eastAsia" w:ascii="宋体" w:hAnsi="宋体" w:cs="宋体"/>
          <w:szCs w:val="21"/>
          <w:vertAlign w:val="superscript"/>
        </w:rPr>
        <w:t>]</w:t>
      </w:r>
      <w:r>
        <w:rPr>
          <w:rFonts w:hint="eastAsia" w:ascii="宋体" w:hAnsi="宋体" w:cs="宋体"/>
          <w:szCs w:val="21"/>
        </w:rPr>
        <w:t>有机结合起来分析。</w:t>
      </w:r>
      <w:r>
        <w:rPr>
          <w:rFonts w:hint="eastAsia" w:ascii="宋体" w:hAnsi="宋体" w:cs="宋体"/>
          <w:color w:val="000000"/>
          <w:szCs w:val="21"/>
        </w:rPr>
        <w:t>本单元以“莫尔盐”为研究</w:t>
      </w:r>
      <w:r>
        <w:rPr>
          <w:rFonts w:hint="eastAsia" w:ascii="宋体" w:hAnsi="宋体" w:cs="宋体"/>
          <w:color w:val="000000"/>
          <w:szCs w:val="21"/>
          <w:lang w:val="en-US" w:eastAsia="zh-CN"/>
        </w:rPr>
        <w:t>主题</w:t>
      </w:r>
      <w:r>
        <w:rPr>
          <w:rFonts w:hint="eastAsia" w:ascii="宋体" w:hAnsi="宋体" w:cs="宋体"/>
          <w:color w:val="000000"/>
          <w:szCs w:val="21"/>
        </w:rPr>
        <w:t>，围绕“莫尔盐”的性质、组成和制备，以</w:t>
      </w:r>
      <w:r>
        <w:rPr>
          <w:rFonts w:hint="eastAsia" w:ascii="宋体" w:hAnsi="宋体" w:cs="宋体"/>
          <w:szCs w:val="21"/>
        </w:rPr>
        <w:t>2022版课标中相应化学主题的部分内容要求为依据提炼单元大概念，最终</w:t>
      </w:r>
      <w:r>
        <w:rPr>
          <w:rFonts w:hint="eastAsia" w:ascii="宋体" w:hAnsi="宋体" w:cs="宋体"/>
          <w:color w:val="000000"/>
          <w:szCs w:val="21"/>
        </w:rPr>
        <w:t>确定了“</w:t>
      </w:r>
      <w:r>
        <w:rPr>
          <w:rFonts w:hint="eastAsia" w:ascii="宋体" w:hAnsi="宋体" w:cs="宋体"/>
          <w:szCs w:val="21"/>
        </w:rPr>
        <w:t>初识莫尔盐</w:t>
      </w:r>
      <w:r>
        <w:rPr>
          <w:rFonts w:hint="eastAsia" w:ascii="宋体" w:hAnsi="宋体" w:cs="宋体"/>
          <w:color w:val="000000"/>
          <w:szCs w:val="21"/>
        </w:rPr>
        <w:t>”“</w:t>
      </w:r>
      <w:r>
        <w:rPr>
          <w:rFonts w:hint="eastAsia" w:ascii="宋体" w:hAnsi="宋体" w:cs="宋体"/>
          <w:szCs w:val="21"/>
        </w:rPr>
        <w:t>走进莫尔盐</w:t>
      </w:r>
      <w:r>
        <w:rPr>
          <w:rFonts w:hint="eastAsia" w:ascii="宋体" w:hAnsi="宋体" w:cs="宋体"/>
          <w:color w:val="000000"/>
          <w:szCs w:val="21"/>
        </w:rPr>
        <w:t>”“</w:t>
      </w:r>
      <w:r>
        <w:rPr>
          <w:rFonts w:hint="eastAsia" w:ascii="宋体" w:hAnsi="宋体" w:cs="宋体"/>
          <w:szCs w:val="21"/>
        </w:rPr>
        <w:t>制备莫尔盐</w:t>
      </w:r>
      <w:r>
        <w:rPr>
          <w:rFonts w:hint="eastAsia" w:ascii="宋体" w:hAnsi="宋体" w:cs="宋体"/>
          <w:color w:val="000000"/>
          <w:szCs w:val="21"/>
        </w:rPr>
        <w:t>”3个课</w:t>
      </w:r>
      <w:r>
        <w:rPr>
          <w:rFonts w:hint="eastAsia" w:ascii="宋体" w:hAnsi="宋体" w:cs="宋体"/>
          <w:color w:val="000000"/>
          <w:szCs w:val="21"/>
          <w:lang w:val="en-US" w:eastAsia="zh-CN"/>
        </w:rPr>
        <w:t>时</w:t>
      </w:r>
      <w:r>
        <w:rPr>
          <w:rFonts w:hint="eastAsia" w:ascii="宋体" w:hAnsi="宋体" w:cs="宋体"/>
          <w:color w:val="000000"/>
          <w:szCs w:val="21"/>
          <w:lang w:eastAsia="zh-CN"/>
        </w:rPr>
        <w:t>，</w:t>
      </w:r>
      <w:r>
        <w:rPr>
          <w:rFonts w:hint="eastAsia"/>
          <w:lang w:val="en-US" w:eastAsia="zh-CN"/>
        </w:rPr>
        <w:t>整体架构</w:t>
      </w:r>
      <w:r>
        <w:rPr>
          <w:rFonts w:hint="eastAsia" w:asciiTheme="minorEastAsia" w:hAnsiTheme="minorEastAsia" w:eastAsiaTheme="minorEastAsia" w:cstheme="minorEastAsia"/>
        </w:rPr>
        <w:t>如图1所示</w:t>
      </w:r>
      <w:r>
        <w:t>。</w:t>
      </w:r>
    </w:p>
    <w:p w14:paraId="368C8223">
      <w:pPr>
        <w:jc w:val="center"/>
        <w:rPr>
          <w:rFonts w:hint="eastAsia" w:ascii="黑体" w:hAnsi="黑体" w:eastAsia="黑体" w:cs="黑体"/>
          <w:color w:val="000000"/>
          <w:sz w:val="18"/>
          <w:szCs w:val="18"/>
        </w:rPr>
      </w:pPr>
      <w:r>
        <mc:AlternateContent>
          <mc:Choice Requires="wpg">
            <w:drawing>
              <wp:inline distT="0" distB="0" distL="114300" distR="114300">
                <wp:extent cx="5130165" cy="2999105"/>
                <wp:effectExtent l="4445" t="4445" r="8890" b="6350"/>
                <wp:docPr id="105" name="组合 105"/>
                <wp:cNvGraphicFramePr/>
                <a:graphic xmlns:a="http://schemas.openxmlformats.org/drawingml/2006/main">
                  <a:graphicData uri="http://schemas.microsoft.com/office/word/2010/wordprocessingGroup">
                    <wpg:wgp>
                      <wpg:cNvGrpSpPr/>
                      <wpg:grpSpPr>
                        <a:xfrm>
                          <a:off x="0" y="0"/>
                          <a:ext cx="5130165" cy="2999105"/>
                          <a:chOff x="5787" y="7987"/>
                          <a:chExt cx="8079" cy="4723"/>
                        </a:xfrm>
                      </wpg:grpSpPr>
                      <wpg:grpSp>
                        <wpg:cNvPr id="2" name="组合 43"/>
                        <wpg:cNvGrpSpPr/>
                        <wpg:grpSpPr>
                          <a:xfrm rot="10800000" flipH="1">
                            <a:off x="10567" y="11171"/>
                            <a:ext cx="120" cy="329"/>
                            <a:chOff x="9665" y="11628"/>
                            <a:chExt cx="139" cy="459"/>
                          </a:xfrm>
                        </wpg:grpSpPr>
                        <wps:wsp>
                          <wps:cNvPr id="44" name="等腰三角形 11"/>
                          <wps:cNvSpPr/>
                          <wps:spPr>
                            <a:xfrm>
                              <a:off x="9665" y="11628"/>
                              <a:ext cx="139" cy="253"/>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直接连接符 12"/>
                          <wps:cNvCnPr/>
                          <wps:spPr>
                            <a:xfrm>
                              <a:off x="9729" y="11825"/>
                              <a:ext cx="0" cy="262"/>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06" name="组合 49"/>
                        <wpg:cNvGrpSpPr/>
                        <wpg:grpSpPr>
                          <a:xfrm>
                            <a:off x="5787" y="7987"/>
                            <a:ext cx="8079" cy="4723"/>
                            <a:chOff x="5787" y="8011"/>
                            <a:chExt cx="8079" cy="4723"/>
                          </a:xfrm>
                        </wpg:grpSpPr>
                        <wps:wsp>
                          <wps:cNvPr id="107" name="文本框 3"/>
                          <wps:cNvSpPr txBox="1"/>
                          <wps:spPr>
                            <a:xfrm>
                              <a:off x="7575" y="8089"/>
                              <a:ext cx="6099" cy="108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494C71">
                                <w:pPr>
                                  <w:rPr>
                                    <w:rFonts w:hint="default" w:eastAsiaTheme="minorEastAsia"/>
                                    <w:color w:val="000000" w:themeColor="text1"/>
                                    <w:sz w:val="15"/>
                                    <w:szCs w:val="15"/>
                                    <w:lang w:val="en-US" w:eastAsia="zh-CN"/>
                                    <w14:textFill>
                                      <w14:solidFill>
                                        <w14:schemeClr w14:val="tx1"/>
                                      </w14:solidFill>
                                    </w14:textFill>
                                  </w:rPr>
                                </w:pPr>
                                <w:r>
                                  <w:rPr>
                                    <w:rFonts w:hint="eastAsia" w:ascii="宋体" w:hAnsi="宋体" w:cs="宋体"/>
                                    <w:sz w:val="15"/>
                                    <w:szCs w:val="15"/>
                                    <w:lang w:val="en-US" w:eastAsia="zh-CN"/>
                                  </w:rPr>
                                  <w:t>物质的性质、组成、变化和制备之间存在学科逻辑关联</w:t>
                                </w:r>
                                <w:r>
                                  <w:rPr>
                                    <w:rFonts w:hint="eastAsia" w:ascii="宋体" w:hAnsi="宋体" w:cs="宋体"/>
                                    <w:sz w:val="15"/>
                                    <w:szCs w:val="15"/>
                                  </w:rPr>
                                  <w:t>；</w:t>
                                </w:r>
                                <w:r>
                                  <w:rPr>
                                    <w:rFonts w:hint="eastAsia" w:ascii="宋体" w:hAnsi="宋体" w:cs="宋体"/>
                                    <w:sz w:val="15"/>
                                    <w:szCs w:val="15"/>
                                    <w:lang w:val="en-US" w:eastAsia="zh-CN"/>
                                  </w:rPr>
                                  <w:t>宏微结合、定量分析是认识物质及其变化的重要方式；</w:t>
                                </w:r>
                                <w:r>
                                  <w:rPr>
                                    <w:rFonts w:hint="eastAsia" w:ascii="宋体" w:hAnsi="宋体" w:cs="宋体"/>
                                    <w:sz w:val="15"/>
                                    <w:szCs w:val="15"/>
                                  </w:rPr>
                                  <w:t>实</w:t>
                                </w:r>
                                <w:r>
                                  <w:rPr>
                                    <w:rFonts w:hint="eastAsia"/>
                                    <w:color w:val="000000" w:themeColor="text1"/>
                                    <w:sz w:val="15"/>
                                    <w:szCs w:val="15"/>
                                    <w14:textFill>
                                      <w14:solidFill>
                                        <w14:schemeClr w14:val="tx1"/>
                                      </w14:solidFill>
                                    </w14:textFill>
                                  </w:rPr>
                                  <w:t>验探究是研究物质及其变化的基本方法；</w:t>
                                </w:r>
                                <w:r>
                                  <w:rPr>
                                    <w:rFonts w:hint="eastAsia"/>
                                    <w:color w:val="000000" w:themeColor="text1"/>
                                    <w:sz w:val="15"/>
                                    <w:szCs w:val="15"/>
                                    <w:lang w:val="en-US" w:eastAsia="zh-CN"/>
                                    <w14:textFill>
                                      <w14:solidFill>
                                        <w14:schemeClr w14:val="tx1"/>
                                      </w14:solidFill>
                                    </w14:textFill>
                                  </w:rPr>
                                  <w:t>化学反应需要一定的条件，制备物质时</w:t>
                                </w:r>
                                <w:r>
                                  <w:rPr>
                                    <w:rFonts w:hint="eastAsia" w:asciiTheme="minorEastAsia" w:hAnsiTheme="minorEastAsia" w:eastAsiaTheme="minorEastAsia" w:cstheme="minorEastAsia"/>
                                    <w:color w:val="000000"/>
                                    <w:sz w:val="15"/>
                                    <w:szCs w:val="15"/>
                                  </w:rPr>
                                  <w:t>合理利用、调控化学反应</w:t>
                                </w:r>
                                <w:r>
                                  <w:rPr>
                                    <w:rFonts w:hint="eastAsia" w:asciiTheme="minorEastAsia" w:hAnsiTheme="minorEastAsia" w:eastAsiaTheme="minorEastAsia" w:cstheme="minorEastAsia"/>
                                    <w:color w:val="000000"/>
                                    <w:sz w:val="15"/>
                                    <w:szCs w:val="15"/>
                                    <w:lang w:val="en-US" w:eastAsia="zh-CN"/>
                                  </w:rPr>
                                  <w:t>能提高产品的产率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4"/>
                          <wps:cNvSpPr txBox="1"/>
                          <wps:spPr>
                            <a:xfrm>
                              <a:off x="5877" y="8377"/>
                              <a:ext cx="1575" cy="464"/>
                            </a:xfrm>
                            <a:prstGeom prst="rect">
                              <a:avLst/>
                            </a:prstGeom>
                            <a:noFill/>
                            <a:ln w="9525" cmpd="sng">
                              <a:solidFill>
                                <a:schemeClr val="tx1"/>
                              </a:solidFill>
                              <a:prstDash val="lgDash"/>
                            </a:ln>
                          </wps:spPr>
                          <wps:style>
                            <a:lnRef idx="0">
                              <a:schemeClr val="accent1"/>
                            </a:lnRef>
                            <a:fillRef idx="0">
                              <a:schemeClr val="accent1"/>
                            </a:fillRef>
                            <a:effectRef idx="0">
                              <a:schemeClr val="accent1"/>
                            </a:effectRef>
                            <a:fontRef idx="minor">
                              <a:schemeClr val="dk1"/>
                            </a:fontRef>
                          </wps:style>
                          <wps:txbx>
                            <w:txbxContent>
                              <w:p w14:paraId="3ED379F3">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单元大概念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5"/>
                          <wps:cNvSpPr txBox="1"/>
                          <wps:spPr>
                            <a:xfrm>
                              <a:off x="7565" y="9525"/>
                              <a:ext cx="6099" cy="476"/>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C3F6E0">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莫尔盐专题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6"/>
                          <wps:cNvSpPr txBox="1"/>
                          <wps:spPr>
                            <a:xfrm>
                              <a:off x="5879" y="9533"/>
                              <a:ext cx="1575" cy="464"/>
                            </a:xfrm>
                            <a:prstGeom prst="rect">
                              <a:avLst/>
                            </a:prstGeom>
                            <a:noFill/>
                            <a:ln w="9525" cmpd="sng">
                              <a:solidFill>
                                <a:schemeClr val="tx1"/>
                              </a:solidFill>
                              <a:prstDash val="lgDash"/>
                            </a:ln>
                          </wps:spPr>
                          <wps:style>
                            <a:lnRef idx="0">
                              <a:schemeClr val="accent1"/>
                            </a:lnRef>
                            <a:fillRef idx="0">
                              <a:schemeClr val="accent1"/>
                            </a:fillRef>
                            <a:effectRef idx="0">
                              <a:schemeClr val="accent1"/>
                            </a:effectRef>
                            <a:fontRef idx="minor">
                              <a:schemeClr val="dk1"/>
                            </a:fontRef>
                          </wps:style>
                          <wps:txbx>
                            <w:txbxContent>
                              <w:p w14:paraId="7B1FB960">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单元教学主题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1" name="组合 13"/>
                          <wpg:cNvGrpSpPr/>
                          <wpg:grpSpPr>
                            <a:xfrm rot="10800000" flipH="1">
                              <a:off x="10558" y="9215"/>
                              <a:ext cx="120" cy="261"/>
                              <a:chOff x="9657" y="11039"/>
                              <a:chExt cx="139" cy="364"/>
                            </a:xfrm>
                          </wpg:grpSpPr>
                          <wps:wsp>
                            <wps:cNvPr id="112" name="等腰三角形 11"/>
                            <wps:cNvSpPr/>
                            <wps:spPr>
                              <a:xfrm>
                                <a:off x="9657" y="11039"/>
                                <a:ext cx="139" cy="253"/>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直接连接符 12"/>
                            <wps:cNvCnPr/>
                            <wps:spPr>
                              <a:xfrm>
                                <a:off x="9721" y="11141"/>
                                <a:ext cx="0" cy="262"/>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14" name="文本框 16"/>
                          <wps:cNvSpPr txBox="1"/>
                          <wps:spPr>
                            <a:xfrm>
                              <a:off x="7565" y="10381"/>
                              <a:ext cx="1600" cy="788"/>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B99789">
                                <w:pPr>
                                  <w:jc w:val="center"/>
                                  <w:rPr>
                                    <w:rFonts w:ascii="Times New Roman" w:hAnsi="Times New Roman" w:eastAsiaTheme="minorEastAsia"/>
                                    <w:sz w:val="15"/>
                                    <w:szCs w:val="15"/>
                                  </w:rPr>
                                </w:pPr>
                                <w:r>
                                  <w:rPr>
                                    <w:rFonts w:hint="eastAsia" w:ascii="Times New Roman" w:hAnsi="Times New Roman"/>
                                    <w:sz w:val="15"/>
                                    <w:szCs w:val="15"/>
                                  </w:rPr>
                                  <w:t>课时1</w:t>
                                </w:r>
                              </w:p>
                              <w:p w14:paraId="26B6ED88">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初识莫尔盐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5"/>
                          <wps:cNvSpPr txBox="1"/>
                          <wps:spPr>
                            <a:xfrm>
                              <a:off x="5879" y="10532"/>
                              <a:ext cx="1575" cy="464"/>
                            </a:xfrm>
                            <a:prstGeom prst="rect">
                              <a:avLst/>
                            </a:prstGeom>
                            <a:noFill/>
                            <a:ln w="9525" cmpd="sng">
                              <a:solidFill>
                                <a:schemeClr val="tx1"/>
                              </a:solidFill>
                              <a:prstDash val="lgDash"/>
                            </a:ln>
                          </wps:spPr>
                          <wps:style>
                            <a:lnRef idx="0">
                              <a:schemeClr val="accent1"/>
                            </a:lnRef>
                            <a:fillRef idx="0">
                              <a:schemeClr val="accent1"/>
                            </a:fillRef>
                            <a:effectRef idx="0">
                              <a:schemeClr val="accent1"/>
                            </a:effectRef>
                            <a:fontRef idx="minor">
                              <a:schemeClr val="dk1"/>
                            </a:fontRef>
                          </wps:style>
                          <wps:txbx>
                            <w:txbxContent>
                              <w:p w14:paraId="30B8B62E">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单元课时划分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7"/>
                          <wps:cNvSpPr txBox="1"/>
                          <wps:spPr>
                            <a:xfrm>
                              <a:off x="9818" y="10384"/>
                              <a:ext cx="1600" cy="788"/>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B4B46B">
                                <w:pPr>
                                  <w:jc w:val="center"/>
                                  <w:rPr>
                                    <w:rFonts w:ascii="Times New Roman" w:hAnsi="Times New Roman" w:eastAsiaTheme="minorEastAsia"/>
                                    <w:sz w:val="15"/>
                                    <w:szCs w:val="15"/>
                                  </w:rPr>
                                </w:pPr>
                                <w:r>
                                  <w:rPr>
                                    <w:rFonts w:hint="eastAsia" w:ascii="Times New Roman" w:hAnsi="Times New Roman"/>
                                    <w:sz w:val="15"/>
                                    <w:szCs w:val="15"/>
                                  </w:rPr>
                                  <w:t>课时2</w:t>
                                </w:r>
                              </w:p>
                              <w:p w14:paraId="24D1C00E">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走进莫尔盐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18"/>
                          <wps:cNvSpPr txBox="1"/>
                          <wps:spPr>
                            <a:xfrm>
                              <a:off x="12080" y="10386"/>
                              <a:ext cx="1600" cy="788"/>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AD129A">
                                <w:pPr>
                                  <w:jc w:val="center"/>
                                  <w:rPr>
                                    <w:rFonts w:ascii="Times New Roman" w:hAnsi="Times New Roman" w:eastAsiaTheme="minorEastAsia"/>
                                    <w:sz w:val="15"/>
                                    <w:szCs w:val="15"/>
                                  </w:rPr>
                                </w:pPr>
                                <w:r>
                                  <w:rPr>
                                    <w:rFonts w:hint="eastAsia" w:ascii="Times New Roman" w:hAnsi="Times New Roman"/>
                                    <w:sz w:val="15"/>
                                    <w:szCs w:val="15"/>
                                  </w:rPr>
                                  <w:t>课时3</w:t>
                                </w:r>
                              </w:p>
                              <w:p w14:paraId="2D4E3C96">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制备莫尔盐</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8" name="组合 30"/>
                          <wpg:cNvGrpSpPr/>
                          <wpg:grpSpPr>
                            <a:xfrm>
                              <a:off x="8343" y="10007"/>
                              <a:ext cx="4610" cy="363"/>
                              <a:chOff x="8343" y="10007"/>
                              <a:chExt cx="4610" cy="363"/>
                            </a:xfrm>
                          </wpg:grpSpPr>
                          <wps:wsp>
                            <wps:cNvPr id="119" name="直接连接符 20"/>
                            <wps:cNvCnPr/>
                            <wps:spPr>
                              <a:xfrm>
                                <a:off x="8400" y="10131"/>
                                <a:ext cx="450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120" name="组合 21"/>
                            <wpg:cNvGrpSpPr/>
                            <wpg:grpSpPr>
                              <a:xfrm rot="10800000" flipH="1">
                                <a:off x="8343" y="10129"/>
                                <a:ext cx="120" cy="241"/>
                                <a:chOff x="9651" y="11350"/>
                                <a:chExt cx="139" cy="336"/>
                              </a:xfrm>
                            </wpg:grpSpPr>
                            <wps:wsp>
                              <wps:cNvPr id="121" name="等腰三角形 11"/>
                              <wps:cNvSpPr/>
                              <wps:spPr>
                                <a:xfrm>
                                  <a:off x="9651" y="11350"/>
                                  <a:ext cx="139" cy="254"/>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直接连接符 12"/>
                              <wps:cNvCnPr/>
                              <wps:spPr>
                                <a:xfrm>
                                  <a:off x="9721" y="11488"/>
                                  <a:ext cx="0" cy="198"/>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23" name="组合 24"/>
                            <wpg:cNvGrpSpPr/>
                            <wpg:grpSpPr>
                              <a:xfrm rot="10800000" flipH="1">
                                <a:off x="10557" y="10007"/>
                                <a:ext cx="120" cy="359"/>
                                <a:chOff x="9663" y="11361"/>
                                <a:chExt cx="139" cy="501"/>
                              </a:xfrm>
                            </wpg:grpSpPr>
                            <wps:wsp>
                              <wps:cNvPr id="124" name="等腰三角形 11"/>
                              <wps:cNvSpPr/>
                              <wps:spPr>
                                <a:xfrm>
                                  <a:off x="9663" y="11361"/>
                                  <a:ext cx="139" cy="253"/>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直接连接符 12"/>
                              <wps:cNvCnPr/>
                              <wps:spPr>
                                <a:xfrm>
                                  <a:off x="9734" y="11449"/>
                                  <a:ext cx="3" cy="413"/>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28" name="组合 27"/>
                            <wpg:cNvGrpSpPr/>
                            <wpg:grpSpPr>
                              <a:xfrm rot="10800000" flipH="1">
                                <a:off x="12833" y="10133"/>
                                <a:ext cx="120" cy="232"/>
                                <a:chOff x="9660" y="11367"/>
                                <a:chExt cx="139" cy="324"/>
                              </a:xfrm>
                            </wpg:grpSpPr>
                            <wps:wsp>
                              <wps:cNvPr id="29" name="等腰三角形 11"/>
                              <wps:cNvSpPr/>
                              <wps:spPr>
                                <a:xfrm>
                                  <a:off x="9660" y="11367"/>
                                  <a:ext cx="139" cy="247"/>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直接连接符 12"/>
                              <wps:cNvCnPr/>
                              <wps:spPr>
                                <a:xfrm>
                                  <a:off x="9725" y="11430"/>
                                  <a:ext cx="0" cy="261"/>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32" name="文本框 32"/>
                          <wps:cNvSpPr txBox="1"/>
                          <wps:spPr>
                            <a:xfrm>
                              <a:off x="7568" y="11573"/>
                              <a:ext cx="1838" cy="106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FFB97F">
                                <w:pPr>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cs="宋体"/>
                                    <w:sz w:val="15"/>
                                    <w:szCs w:val="15"/>
                                    <w:lang w:val="en-US" w:eastAsia="zh-CN"/>
                                  </w:rPr>
                                  <w:t>NaOH</w:t>
                                </w:r>
                                <w:r>
                                  <w:rPr>
                                    <w:rFonts w:hint="eastAsia" w:ascii="宋体" w:hAnsi="宋体" w:cs="宋体"/>
                                    <w:sz w:val="15"/>
                                    <w:szCs w:val="15"/>
                                  </w:rPr>
                                  <w:t>等</w:t>
                                </w:r>
                                <w:r>
                                  <w:rPr>
                                    <w:rFonts w:hint="eastAsia" w:ascii="宋体" w:hAnsi="宋体" w:cs="宋体"/>
                                    <w:sz w:val="15"/>
                                    <w:szCs w:val="15"/>
                                    <w:lang w:val="en-US" w:eastAsia="zh-CN"/>
                                  </w:rPr>
                                  <w:t>物质</w:t>
                                </w:r>
                                <w:r>
                                  <w:rPr>
                                    <w:rFonts w:hint="eastAsia" w:ascii="宋体" w:hAnsi="宋体" w:cs="宋体"/>
                                    <w:sz w:val="15"/>
                                    <w:szCs w:val="15"/>
                                  </w:rPr>
                                  <w:t>的</w:t>
                                </w:r>
                                <w:r>
                                  <w:rPr>
                                    <w:rFonts w:hint="eastAsia" w:ascii="宋体" w:hAnsi="宋体" w:cs="宋体"/>
                                    <w:sz w:val="15"/>
                                    <w:szCs w:val="15"/>
                                    <w:lang w:val="en-US" w:eastAsia="zh-CN"/>
                                  </w:rPr>
                                  <w:t>相关</w:t>
                                </w:r>
                                <w:r>
                                  <w:rPr>
                                    <w:rFonts w:hint="eastAsia" w:ascii="宋体" w:hAnsi="宋体" w:cs="宋体"/>
                                    <w:sz w:val="15"/>
                                    <w:szCs w:val="15"/>
                                  </w:rPr>
                                  <w:t>性质，</w:t>
                                </w:r>
                                <w:r>
                                  <w:rPr>
                                    <w:rFonts w:hint="eastAsia" w:ascii="宋体" w:hAnsi="宋体" w:cs="宋体"/>
                                    <w:sz w:val="15"/>
                                    <w:szCs w:val="15"/>
                                    <w:lang w:val="en-US" w:eastAsia="zh-CN"/>
                                  </w:rPr>
                                  <w:t>化学反应前后元素守恒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882" y="11881"/>
                              <a:ext cx="1575" cy="464"/>
                            </a:xfrm>
                            <a:prstGeom prst="rect">
                              <a:avLst/>
                            </a:prstGeom>
                            <a:noFill/>
                            <a:ln w="9525" cmpd="sng">
                              <a:solidFill>
                                <a:schemeClr val="tx1"/>
                              </a:solidFill>
                              <a:prstDash val="lgDash"/>
                            </a:ln>
                          </wps:spPr>
                          <wps:style>
                            <a:lnRef idx="0">
                              <a:schemeClr val="accent1"/>
                            </a:lnRef>
                            <a:fillRef idx="0">
                              <a:schemeClr val="accent1"/>
                            </a:fillRef>
                            <a:effectRef idx="0">
                              <a:schemeClr val="accent1"/>
                            </a:effectRef>
                            <a:fontRef idx="minor">
                              <a:schemeClr val="dk1"/>
                            </a:fontRef>
                          </wps:style>
                          <wps:txbx>
                            <w:txbxContent>
                              <w:p w14:paraId="36CD69EC">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单元核心知识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33"/>
                          <wps:cNvSpPr txBox="1"/>
                          <wps:spPr>
                            <a:xfrm>
                              <a:off x="9881" y="11576"/>
                              <a:ext cx="1450" cy="1075"/>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DBC287">
                                <w:pP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定量</w:t>
                                </w:r>
                                <w:r>
                                  <w:rPr>
                                    <w:rFonts w:hint="eastAsia"/>
                                    <w:color w:val="000000" w:themeColor="text1"/>
                                    <w:sz w:val="15"/>
                                    <w:szCs w:val="15"/>
                                    <w14:textFill>
                                      <w14:solidFill>
                                        <w14:schemeClr w14:val="tx1"/>
                                      </w14:solidFill>
                                    </w14:textFill>
                                  </w:rPr>
                                  <w:t>计算，</w:t>
                                </w:r>
                                <w:r>
                                  <w:rPr>
                                    <w:rFonts w:hint="eastAsia"/>
                                    <w:color w:val="000000" w:themeColor="text1"/>
                                    <w:sz w:val="15"/>
                                    <w:szCs w:val="15"/>
                                    <w:lang w:val="en-US" w:eastAsia="zh-CN"/>
                                    <w14:textFill>
                                      <w14:solidFill>
                                        <w14:schemeClr w14:val="tx1"/>
                                      </w14:solidFill>
                                    </w14:textFill>
                                  </w:rPr>
                                  <w:t>依据化合价</w:t>
                                </w:r>
                                <w:r>
                                  <w:rPr>
                                    <w:rFonts w:hint="eastAsia"/>
                                    <w:color w:val="000000" w:themeColor="text1"/>
                                    <w:sz w:val="15"/>
                                    <w:szCs w:val="15"/>
                                    <w14:textFill>
                                      <w14:solidFill>
                                        <w14:schemeClr w14:val="tx1"/>
                                      </w14:solidFill>
                                    </w14:textFill>
                                  </w:rPr>
                                  <w:t>拆写复杂物质化学式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1"/>
                          <wps:cNvSpPr txBox="1"/>
                          <wps:spPr>
                            <a:xfrm>
                              <a:off x="11807" y="11578"/>
                              <a:ext cx="1888" cy="1075"/>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C1468E">
                                <w:pPr>
                                  <w:rPr>
                                    <w:rFonts w:ascii="Times New Roman" w:hAnsi="Times New Roman" w:eastAsia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sz w:val="15"/>
                                    <w:szCs w:val="15"/>
                                  </w:rPr>
                                  <w:t>铁粉到莫尔盐的转化，</w:t>
                                </w:r>
                                <w:r>
                                  <w:rPr>
                                    <w:rFonts w:hint="eastAsia" w:ascii="Times New Roman" w:hAnsi="Times New Roman"/>
                                    <w:color w:val="000000" w:themeColor="text1"/>
                                    <w:sz w:val="15"/>
                                    <w:szCs w:val="15"/>
                                    <w14:textFill>
                                      <w14:solidFill>
                                        <w14:schemeClr w14:val="tx1"/>
                                      </w14:solidFill>
                                    </w14:textFill>
                                  </w:rPr>
                                  <w:t>溶解度的应用，过滤、结晶、洗涤等物质分离的方法</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8" name="组合 41"/>
                          <wpg:cNvGrpSpPr/>
                          <wpg:grpSpPr>
                            <a:xfrm>
                              <a:off x="9425" y="12059"/>
                              <a:ext cx="2382" cy="124"/>
                              <a:chOff x="9425" y="11963"/>
                              <a:chExt cx="2382" cy="124"/>
                            </a:xfrm>
                          </wpg:grpSpPr>
                          <wpg:grpSp>
                            <wpg:cNvPr id="39" name="组合 35"/>
                            <wpg:cNvGrpSpPr/>
                            <wpg:grpSpPr>
                              <a:xfrm rot="5400000" flipH="1">
                                <a:off x="9596" y="11796"/>
                                <a:ext cx="120" cy="463"/>
                                <a:chOff x="10246" y="10912"/>
                                <a:chExt cx="139" cy="491"/>
                              </a:xfrm>
                            </wpg:grpSpPr>
                            <wps:wsp>
                              <wps:cNvPr id="40" name="等腰三角形 11"/>
                              <wps:cNvSpPr/>
                              <wps:spPr>
                                <a:xfrm>
                                  <a:off x="10246" y="10912"/>
                                  <a:ext cx="139" cy="245"/>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直接连接符 12"/>
                              <wps:cNvCnPr/>
                              <wps:spPr>
                                <a:xfrm>
                                  <a:off x="10318" y="11140"/>
                                  <a:ext cx="0" cy="263"/>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129" name="组合 38"/>
                            <wpg:cNvGrpSpPr/>
                            <wpg:grpSpPr>
                              <a:xfrm rot="5400000" flipH="1">
                                <a:off x="11510" y="11791"/>
                                <a:ext cx="124" cy="469"/>
                                <a:chOff x="10248" y="10909"/>
                                <a:chExt cx="144" cy="497"/>
                              </a:xfrm>
                            </wpg:grpSpPr>
                            <wps:wsp>
                              <wps:cNvPr id="47" name="等腰三角形 11"/>
                              <wps:cNvSpPr/>
                              <wps:spPr>
                                <a:xfrm>
                                  <a:off x="10248" y="10909"/>
                                  <a:ext cx="144" cy="246"/>
                                </a:xfrm>
                                <a:prstGeom prst="triangl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直接连接符 12"/>
                              <wps:cNvCnPr/>
                              <wps:spPr>
                                <a:xfrm>
                                  <a:off x="10315" y="11143"/>
                                  <a:ext cx="0" cy="263"/>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51" name="左中括号 42"/>
                          <wps:cNvSpPr/>
                          <wps:spPr>
                            <a:xfrm rot="16200000">
                              <a:off x="10587" y="9013"/>
                              <a:ext cx="138" cy="4475"/>
                            </a:xfrm>
                            <a:prstGeom prst="leftBracket">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2" name="圆角矩形 46"/>
                          <wps:cNvSpPr/>
                          <wps:spPr>
                            <a:xfrm>
                              <a:off x="5787" y="11509"/>
                              <a:ext cx="8075" cy="1225"/>
                            </a:xfrm>
                            <a:prstGeom prst="roundRect">
                              <a:avLst>
                                <a:gd name="adj" fmla="val 15673"/>
                              </a:avLst>
                            </a:prstGeom>
                            <a:noFill/>
                            <a:ln w="6350">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圆角矩形 47"/>
                          <wps:cNvSpPr/>
                          <wps:spPr>
                            <a:xfrm>
                              <a:off x="5789" y="9465"/>
                              <a:ext cx="8075" cy="1807"/>
                            </a:xfrm>
                            <a:prstGeom prst="roundRect">
                              <a:avLst>
                                <a:gd name="adj" fmla="val 9711"/>
                              </a:avLst>
                            </a:prstGeom>
                            <a:noFill/>
                            <a:ln w="6350">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圆角矩形 48"/>
                          <wps:cNvSpPr/>
                          <wps:spPr>
                            <a:xfrm>
                              <a:off x="5791" y="8011"/>
                              <a:ext cx="8075" cy="1241"/>
                            </a:xfrm>
                            <a:prstGeom prst="roundRect">
                              <a:avLst>
                                <a:gd name="adj" fmla="val 15673"/>
                              </a:avLst>
                            </a:prstGeom>
                            <a:noFill/>
                            <a:ln w="6350">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236.15pt;width:403.95pt;" coordorigin="5787,7987" coordsize="8079,4723" o:gfxdata="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">
                <o:lock v:ext="edit" aspectratio="f"/>
                <v:group id="组合 43" o:spid="_x0000_s1026" o:spt="203" style="position:absolute;left:10567;top:11171;flip:x;height:329;width:120;rotation:11796480f;" coordorigin="9665,11628" coordsize="139,459" o:gfxdata="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v6GJvAAAANoAAAAPAAAAAAAAAAEAIAAAACIAAABkcnMvZG93bnJldi54bWxQ&#10;SwECFAAUAAAACACHTuJAMy8FnjsAAAA5AAAAFQAAAAAAAAABACAAAAALAQAAZHJzL2dyb3Vwc2hh&#10;cGV4bWwueG1sUEsFBgAAAAAGAAYAYAEAAMgDAAAAAA==&#10;">
                  <o:lock v:ext="edit" aspectratio="f"/>
                  <v:shape id="等腰三角形 11" o:spid="_x0000_s1026" o:spt="5" type="#_x0000_t5" style="position:absolute;left:9665;top:11628;height:253;width:139;v-text-anchor:middle;" fillcolor="#000000 [3213]" filled="t" stroked="f" coordsize="21600,21600" o:gfxdata="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4+6vQAA&#10;ANs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v:line id="直接连接符 12" o:spid="_x0000_s1026" o:spt="20" style="position:absolute;left:9729;top:11825;height:262;width:0;" filled="f" stroked="t" coordsize="21600,21600" o:gfxdata="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1s3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group id="组合 49" o:spid="_x0000_s1026" o:spt="203" style="position:absolute;left:5787;top:7987;height:4723;width:8079;" coordorigin="5787,8011" coordsize="8079,4723"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文本框 3" o:spid="_x0000_s1026" o:spt="202" type="#_x0000_t202" style="position:absolute;left:7575;top:8089;height:1083;width:6099;" filled="f" stroked="t" coordsize="21600,21600" o:gfxdata="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ZU2bsAAADc&#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w:txbxContent>
                        <w:p w14:paraId="05494C71">
                          <w:pPr>
                            <w:rPr>
                              <w:rFonts w:hint="default" w:eastAsiaTheme="minorEastAsia"/>
                              <w:color w:val="000000" w:themeColor="text1"/>
                              <w:sz w:val="15"/>
                              <w:szCs w:val="15"/>
                              <w:lang w:val="en-US" w:eastAsia="zh-CN"/>
                              <w14:textFill>
                                <w14:solidFill>
                                  <w14:schemeClr w14:val="tx1"/>
                                </w14:solidFill>
                              </w14:textFill>
                            </w:rPr>
                          </w:pPr>
                          <w:r>
                            <w:rPr>
                              <w:rFonts w:hint="eastAsia" w:ascii="宋体" w:hAnsi="宋体" w:cs="宋体"/>
                              <w:sz w:val="15"/>
                              <w:szCs w:val="15"/>
                              <w:lang w:val="en-US" w:eastAsia="zh-CN"/>
                            </w:rPr>
                            <w:t>物质的性质、组成、变化和制备之间存在学科逻辑关联</w:t>
                          </w:r>
                          <w:r>
                            <w:rPr>
                              <w:rFonts w:hint="eastAsia" w:ascii="宋体" w:hAnsi="宋体" w:cs="宋体"/>
                              <w:sz w:val="15"/>
                              <w:szCs w:val="15"/>
                            </w:rPr>
                            <w:t>；</w:t>
                          </w:r>
                          <w:r>
                            <w:rPr>
                              <w:rFonts w:hint="eastAsia" w:ascii="宋体" w:hAnsi="宋体" w:cs="宋体"/>
                              <w:sz w:val="15"/>
                              <w:szCs w:val="15"/>
                              <w:lang w:val="en-US" w:eastAsia="zh-CN"/>
                            </w:rPr>
                            <w:t>宏微结合、定量分析是认识物质及其变化的重要方式；</w:t>
                          </w:r>
                          <w:r>
                            <w:rPr>
                              <w:rFonts w:hint="eastAsia" w:ascii="宋体" w:hAnsi="宋体" w:cs="宋体"/>
                              <w:sz w:val="15"/>
                              <w:szCs w:val="15"/>
                            </w:rPr>
                            <w:t>实</w:t>
                          </w:r>
                          <w:r>
                            <w:rPr>
                              <w:rFonts w:hint="eastAsia"/>
                              <w:color w:val="000000" w:themeColor="text1"/>
                              <w:sz w:val="15"/>
                              <w:szCs w:val="15"/>
                              <w14:textFill>
                                <w14:solidFill>
                                  <w14:schemeClr w14:val="tx1"/>
                                </w14:solidFill>
                              </w14:textFill>
                            </w:rPr>
                            <w:t>验探究是研究物质及其变化的基本方法；</w:t>
                          </w:r>
                          <w:r>
                            <w:rPr>
                              <w:rFonts w:hint="eastAsia"/>
                              <w:color w:val="000000" w:themeColor="text1"/>
                              <w:sz w:val="15"/>
                              <w:szCs w:val="15"/>
                              <w:lang w:val="en-US" w:eastAsia="zh-CN"/>
                              <w14:textFill>
                                <w14:solidFill>
                                  <w14:schemeClr w14:val="tx1"/>
                                </w14:solidFill>
                              </w14:textFill>
                            </w:rPr>
                            <w:t>化学反应需要一定的条件，制备物质时</w:t>
                          </w:r>
                          <w:r>
                            <w:rPr>
                              <w:rFonts w:hint="eastAsia" w:asciiTheme="minorEastAsia" w:hAnsiTheme="minorEastAsia" w:eastAsiaTheme="minorEastAsia" w:cstheme="minorEastAsia"/>
                              <w:color w:val="000000"/>
                              <w:sz w:val="15"/>
                              <w:szCs w:val="15"/>
                            </w:rPr>
                            <w:t>合理利用、调控化学反应</w:t>
                          </w:r>
                          <w:r>
                            <w:rPr>
                              <w:rFonts w:hint="eastAsia" w:asciiTheme="minorEastAsia" w:hAnsiTheme="minorEastAsia" w:eastAsiaTheme="minorEastAsia" w:cstheme="minorEastAsia"/>
                              <w:color w:val="000000"/>
                              <w:sz w:val="15"/>
                              <w:szCs w:val="15"/>
                              <w:lang w:val="en-US" w:eastAsia="zh-CN"/>
                            </w:rPr>
                            <w:t>能提高产品的产率</w:t>
                          </w:r>
                        </w:p>
                      </w:txbxContent>
                    </v:textbox>
                  </v:shape>
                  <v:shape id="文本框 4" o:spid="_x0000_s1026" o:spt="202" type="#_x0000_t202" style="position:absolute;left:5877;top:8377;height:464;width:1575;" filled="f" stroked="t" coordsize="21600,21600" o:gfxdata="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hFu/&#10;AAAA3AAAAA8AAAAAAAAAAQAgAAAAIgAAAGRycy9kb3ducmV2LnhtbFBLAQIUABQAAAAIAIdO4kAz&#10;LwWeOwAAADkAAAAQAAAAAAAAAAEAIAAAAA4BAABkcnMvc2hhcGV4bWwueG1sUEsFBgAAAAAGAAYA&#10;WwEAALgDAAAAAA==&#10;">
                    <v:fill on="f" focussize="0,0"/>
                    <v:stroke color="#000000 [3213]" joinstyle="round" dashstyle="longDash"/>
                    <v:imagedata o:title=""/>
                    <o:lock v:ext="edit" aspectratio="f"/>
                    <v:textbox>
                      <w:txbxContent>
                        <w:p w14:paraId="3ED379F3">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单元大概念</w:t>
                          </w:r>
                        </w:p>
                      </w:txbxContent>
                    </v:textbox>
                  </v:shape>
                  <v:shape id="文本框 5" o:spid="_x0000_s1026" o:spt="202" type="#_x0000_t202" style="position:absolute;left:7565;top:9525;height:476;width:6099;" filled="f" stroked="t" coordsize="21600,21600" o:gfxdata="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VZTC8AAAA&#10;3A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14:paraId="33C3F6E0">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莫尔盐专题</w:t>
                          </w:r>
                        </w:p>
                      </w:txbxContent>
                    </v:textbox>
                  </v:shape>
                  <v:shape id="文本框 6" o:spid="_x0000_s1026" o:spt="202" type="#_x0000_t202" style="position:absolute;left:5879;top:9533;height:464;width:1575;" filled="f" stroked="t" coordsize="21600,21600" o:gfxdata="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MB6A&#10;wAAAANwAAAAPAAAAAAAAAAEAIAAAACIAAABkcnMvZG93bnJldi54bWxQSwECFAAUAAAACACHTuJA&#10;My8FnjsAAAA5AAAAEAAAAAAAAAABACAAAAAPAQAAZHJzL3NoYXBleG1sLnhtbFBLBQYAAAAABgAG&#10;AFsBAAC5AwAAAAA=&#10;">
                    <v:fill on="f" focussize="0,0"/>
                    <v:stroke color="#000000 [3213]" joinstyle="round" dashstyle="longDash"/>
                    <v:imagedata o:title=""/>
                    <o:lock v:ext="edit" aspectratio="f"/>
                    <v:textbox>
                      <w:txbxContent>
                        <w:p w14:paraId="7B1FB960">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单元教学主题</w:t>
                          </w:r>
                        </w:p>
                      </w:txbxContent>
                    </v:textbox>
                  </v:shape>
                  <v:group id="组合 13" o:spid="_x0000_s1026" o:spt="203" style="position:absolute;left:10558;top:9215;flip:x;height:261;width:120;rotation:11796480f;" coordorigin="9657,11039" coordsize="139,364" o:gfxdata="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8ZFQ3vAAAANwAAAAPAAAAAAAAAAEAIAAAACIAAABkcnMvZG93bnJldi54bWxQ&#10;SwECFAAUAAAACACHTuJAMy8FnjsAAAA5AAAAFQAAAAAAAAABACAAAAALAQAAZHJzL2dyb3Vwc2hh&#10;cGV4bWwueG1sUEsFBgAAAAAGAAYAYAEAAMgDAAAAAA==&#10;">
                    <o:lock v:ext="edit" aspectratio="f"/>
                    <v:shape id="等腰三角形 11" o:spid="_x0000_s1026" o:spt="5" type="#_x0000_t5" style="position:absolute;left:9657;top:11039;height:253;width:139;v-text-anchor:middle;" fillcolor="#000000 [3213]" filled="t" stroked="f" coordsize="21600,21600" o:gfxdata="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Pv1LsAAADc&#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line id="直接连接符 12" o:spid="_x0000_s1026" o:spt="20" style="position:absolute;left:9721;top:11141;height:262;width:0;" filled="f" stroked="t" coordsize="21600,21600" o:gfxdata="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t6Gu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v:shape id="文本框 16" o:spid="_x0000_s1026" o:spt="202" type="#_x0000_t202" style="position:absolute;left:7565;top:10381;height:788;width:1600;" filled="f" stroked="t" coordsize="21600,21600" o:gfxdata="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1cc7sAAADc&#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w:txbxContent>
                        <w:p w14:paraId="26B99789">
                          <w:pPr>
                            <w:jc w:val="center"/>
                            <w:rPr>
                              <w:rFonts w:ascii="Times New Roman" w:hAnsi="Times New Roman" w:eastAsiaTheme="minorEastAsia"/>
                              <w:sz w:val="15"/>
                              <w:szCs w:val="15"/>
                            </w:rPr>
                          </w:pPr>
                          <w:r>
                            <w:rPr>
                              <w:rFonts w:hint="eastAsia" w:ascii="Times New Roman" w:hAnsi="Times New Roman"/>
                              <w:sz w:val="15"/>
                              <w:szCs w:val="15"/>
                            </w:rPr>
                            <w:t>课时1</w:t>
                          </w:r>
                        </w:p>
                        <w:p w14:paraId="26B6ED88">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初识莫尔盐</w:t>
                          </w:r>
                        </w:p>
                      </w:txbxContent>
                    </v:textbox>
                  </v:shape>
                  <v:shape id="文本框 15" o:spid="_x0000_s1026" o:spt="202" type="#_x0000_t202" style="position:absolute;left:5879;top:10532;height:464;width:1575;" filled="f" stroked="t" coordsize="21600,21600" o:gfxdata="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70YvQAA&#10;ANwAAAAPAAAAAAAAAAEAIAAAACIAAABkcnMvZG93bnJldi54bWxQSwECFAAUAAAACACHTuJAMy8F&#10;njsAAAA5AAAAEAAAAAAAAAABACAAAAAMAQAAZHJzL3NoYXBleG1sLnhtbFBLBQYAAAAABgAGAFsB&#10;AAC2AwAAAAA=&#10;">
                    <v:fill on="f" focussize="0,0"/>
                    <v:stroke color="#000000 [3213]" joinstyle="round" dashstyle="longDash"/>
                    <v:imagedata o:title=""/>
                    <o:lock v:ext="edit" aspectratio="f"/>
                    <v:textbox>
                      <w:txbxContent>
                        <w:p w14:paraId="30B8B62E">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单元课时划分</w:t>
                          </w:r>
                        </w:p>
                      </w:txbxContent>
                    </v:textbox>
                  </v:shape>
                  <v:shape id="文本框 17" o:spid="_x0000_s1026" o:spt="202" type="#_x0000_t202" style="position:absolute;left:9818;top:10384;height:788;width:1600;" filled="f" stroked="t" coordsize="21600,21600" o:gfxdata="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Z5+8AAAA&#10;3A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14:paraId="6BB4B46B">
                          <w:pPr>
                            <w:jc w:val="center"/>
                            <w:rPr>
                              <w:rFonts w:ascii="Times New Roman" w:hAnsi="Times New Roman" w:eastAsiaTheme="minorEastAsia"/>
                              <w:sz w:val="15"/>
                              <w:szCs w:val="15"/>
                            </w:rPr>
                          </w:pPr>
                          <w:r>
                            <w:rPr>
                              <w:rFonts w:hint="eastAsia" w:ascii="Times New Roman" w:hAnsi="Times New Roman"/>
                              <w:sz w:val="15"/>
                              <w:szCs w:val="15"/>
                            </w:rPr>
                            <w:t>课时2</w:t>
                          </w:r>
                        </w:p>
                        <w:p w14:paraId="24D1C00E">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走进莫尔盐</w:t>
                          </w:r>
                        </w:p>
                      </w:txbxContent>
                    </v:textbox>
                  </v:shape>
                  <v:shape id="文本框 18" o:spid="_x0000_s1026" o:spt="202" type="#_x0000_t202" style="position:absolute;left:12080;top:10386;height:788;width:1600;" filled="f" stroked="t" coordsize="21600,21600" o:gfxdata="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fwgS8AAAA&#10;3A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14:paraId="05AD129A">
                          <w:pPr>
                            <w:jc w:val="center"/>
                            <w:rPr>
                              <w:rFonts w:ascii="Times New Roman" w:hAnsi="Times New Roman" w:eastAsiaTheme="minorEastAsia"/>
                              <w:sz w:val="15"/>
                              <w:szCs w:val="15"/>
                            </w:rPr>
                          </w:pPr>
                          <w:r>
                            <w:rPr>
                              <w:rFonts w:hint="eastAsia" w:ascii="Times New Roman" w:hAnsi="Times New Roman"/>
                              <w:sz w:val="15"/>
                              <w:szCs w:val="15"/>
                            </w:rPr>
                            <w:t>课时3</w:t>
                          </w:r>
                        </w:p>
                        <w:p w14:paraId="2D4E3C96">
                          <w:pPr>
                            <w:jc w:val="center"/>
                            <w:rPr>
                              <w:rFonts w:eastAsiaTheme="minorEastAsia"/>
                              <w:color w:val="000000" w:themeColor="text1"/>
                              <w:sz w:val="15"/>
                              <w:szCs w:val="15"/>
                              <w14:textFill>
                                <w14:solidFill>
                                  <w14:schemeClr w14:val="tx1"/>
                                </w14:solidFill>
                              </w14:textFill>
                            </w:rPr>
                          </w:pPr>
                          <w:r>
                            <w:rPr>
                              <w:rFonts w:hint="eastAsia" w:ascii="Times New Roman" w:hAnsi="Times New Roman"/>
                              <w:sz w:val="15"/>
                              <w:szCs w:val="15"/>
                            </w:rPr>
                            <w:t>制备莫尔盐</w:t>
                          </w:r>
                        </w:p>
                      </w:txbxContent>
                    </v:textbox>
                  </v:shape>
                  <v:group id="组合 30" o:spid="_x0000_s1026" o:spt="203" style="position:absolute;left:8343;top:10007;height:363;width:4610;" coordorigin="8343,10007" coordsize="4610,363"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line id="直接连接符 20" o:spid="_x0000_s1026" o:spt="20" style="position:absolute;left:8400;top:10131;height:0;width:4500;" filled="f" stroked="t" coordsize="21600,21600" o:gfxdata="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F34G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id="组合 21" o:spid="_x0000_s1026" o:spt="203" style="position:absolute;left:8343;top:10129;flip:x;height:241;width:120;rotation:11796480f;" coordorigin="9651,11350" coordsize="139,336" o:gfxdata="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RDsRvwAAANwAAAAPAAAAAAAAAAEAIAAAACIAAABkcnMvZG93bnJldi54&#10;bWxQSwECFAAUAAAACACHTuJAMy8FnjsAAAA5AAAAFQAAAAAAAAABACAAAAAOAQAAZHJzL2dyb3Vw&#10;c2hhcGV4bWwueG1sUEsFBgAAAAAGAAYAYAEAAMsDAAAAAA==&#10;">
                      <o:lock v:ext="edit" aspectratio="f"/>
                      <v:shape id="等腰三角形 11" o:spid="_x0000_s1026" o:spt="5" type="#_x0000_t5" style="position:absolute;left:9651;top:11350;height:254;width:139;v-text-anchor:middle;" fillcolor="#000000 [3213]" filled="t" stroked="f" coordsize="21600,21600" o:gfxdata="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27HrsAAADc&#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shape>
                      <v:line id="直接连接符 12" o:spid="_x0000_s1026" o:spt="20" style="position:absolute;left:9721;top:11488;height:198;width:0;" filled="f" stroked="t" coordsize="21600,21600" o:gfxdata="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2HTb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group>
                    <v:group id="组合 24" o:spid="_x0000_s1026" o:spt="203" style="position:absolute;left:10557;top:10007;flip:x;height:359;width:120;rotation:11796480f;" coordorigin="9663,11361" coordsize="139,501" o:gfxdata="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lqVmvAAAANwAAAAPAAAAAAAAAAEAIAAAACIAAABkcnMvZG93bnJldi54bWxQ&#10;SwECFAAUAAAACACHTuJAMy8FnjsAAAA5AAAAFQAAAAAAAAABACAAAAALAQAAZHJzL2dyb3Vwc2hh&#10;cGV4bWwueG1sUEsFBgAAAAAGAAYAYAEAAMgDAAAAAA==&#10;">
                      <o:lock v:ext="edit" aspectratio="f"/>
                      <v:shape id="等腰三角形 11" o:spid="_x0000_s1026" o:spt="5" type="#_x0000_t5" style="position:absolute;left:9663;top:11361;height:253;width:139;v-text-anchor:middle;" fillcolor="#000000 [3213]" filled="t" stroked="f" coordsize="21600,21600" o:gfxdata="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hiGtwAAANwAAAAP&#10;AAAAAAAAAAEAIAAAACIAAABkcnMvZG93bnJldi54bWxQSwECFAAUAAAACACHTuJAMy8FnjsAAAA5&#10;AAAAEAAAAAAAAAABACAAAAAGAQAAZHJzL3NoYXBleG1sLnhtbFBLBQYAAAAABgAGAFsBAACwAwAA&#10;AAA=&#10;" adj="10800">
                        <v:fill on="t" focussize="0,0"/>
                        <v:stroke on="f" weight="1pt" miterlimit="8" joinstyle="miter"/>
                        <v:imagedata o:title=""/>
                        <o:lock v:ext="edit" aspectratio="f"/>
                      </v:shape>
                      <v:line id="直接连接符 12" o:spid="_x0000_s1026" o:spt="20" style="position:absolute;left:9734;top:11449;height:413;width:3;" filled="f" stroked="t" coordsize="21600,21600" o:gfxdata="UEsDBAoAAAAAAIdO4kAAAAAAAAAAAAAAAAAEAAAAZHJzL1BLAwQUAAAACACHTuJADWQfOb0AAADc&#10;AAAADwAAAGRycy9kb3ducmV2LnhtbEVPTWvCQBC9F/wPywi91Y1CS4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B85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group id="组合 27" o:spid="_x0000_s1026" o:spt="203" style="position:absolute;left:12833;top:10133;flip:x;height:232;width:120;rotation:11796480f;" coordorigin="9660,11367" coordsize="139,324" o:gfxdata="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vfeXroAAADbAAAADwAAAAAAAAABACAAAAAiAAAAZHJzL2Rvd25yZXYueG1sUEsB&#10;AhQAFAAAAAgAh07iQDMvBZ47AAAAOQAAABUAAAAAAAAAAQAgAAAACQEAAGRycy9ncm91cHNoYXBl&#10;eG1sLnhtbFBLBQYAAAAABgAGAGABAADGAwAAAAA=&#10;">
                      <o:lock v:ext="edit" aspectratio="f"/>
                      <v:shape id="等腰三角形 11" o:spid="_x0000_s1026" o:spt="5" type="#_x0000_t5" style="position:absolute;left:9660;top:11367;height:247;width:139;v-text-anchor:middle;" fillcolor="#000000 [3213]" filled="t" stroked="f" coordsize="21600,21600" o:gfxdata="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txYS8AAAA&#10;2w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line id="直接连接符 12" o:spid="_x0000_s1026" o:spt="20" style="position:absolute;left:9725;top:11430;height:261;width:0;" filled="f" stroked="t" coordsize="21600,21600" o:gfxdata="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Tr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group>
                  </v:group>
                  <v:shape id="_x0000_s1026" o:spid="_x0000_s1026" o:spt="202" type="#_x0000_t202" style="position:absolute;left:7568;top:11573;height:1063;width:1838;" filled="f" stroked="t" coordsize="21600,21600" o:gfxdata="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qwUvQAA&#10;ANs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14:paraId="1BFFB97F">
                          <w:pPr>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cs="宋体"/>
                              <w:sz w:val="15"/>
                              <w:szCs w:val="15"/>
                              <w:lang w:val="en-US" w:eastAsia="zh-CN"/>
                            </w:rPr>
                            <w:t>NaOH</w:t>
                          </w:r>
                          <w:r>
                            <w:rPr>
                              <w:rFonts w:hint="eastAsia" w:ascii="宋体" w:hAnsi="宋体" w:cs="宋体"/>
                              <w:sz w:val="15"/>
                              <w:szCs w:val="15"/>
                            </w:rPr>
                            <w:t>等</w:t>
                          </w:r>
                          <w:r>
                            <w:rPr>
                              <w:rFonts w:hint="eastAsia" w:ascii="宋体" w:hAnsi="宋体" w:cs="宋体"/>
                              <w:sz w:val="15"/>
                              <w:szCs w:val="15"/>
                              <w:lang w:val="en-US" w:eastAsia="zh-CN"/>
                            </w:rPr>
                            <w:t>物质</w:t>
                          </w:r>
                          <w:r>
                            <w:rPr>
                              <w:rFonts w:hint="eastAsia" w:ascii="宋体" w:hAnsi="宋体" w:cs="宋体"/>
                              <w:sz w:val="15"/>
                              <w:szCs w:val="15"/>
                            </w:rPr>
                            <w:t>的</w:t>
                          </w:r>
                          <w:r>
                            <w:rPr>
                              <w:rFonts w:hint="eastAsia" w:ascii="宋体" w:hAnsi="宋体" w:cs="宋体"/>
                              <w:sz w:val="15"/>
                              <w:szCs w:val="15"/>
                              <w:lang w:val="en-US" w:eastAsia="zh-CN"/>
                            </w:rPr>
                            <w:t>相关</w:t>
                          </w:r>
                          <w:r>
                            <w:rPr>
                              <w:rFonts w:hint="eastAsia" w:ascii="宋体" w:hAnsi="宋体" w:cs="宋体"/>
                              <w:sz w:val="15"/>
                              <w:szCs w:val="15"/>
                            </w:rPr>
                            <w:t>性质，</w:t>
                          </w:r>
                          <w:r>
                            <w:rPr>
                              <w:rFonts w:hint="eastAsia" w:ascii="宋体" w:hAnsi="宋体" w:cs="宋体"/>
                              <w:sz w:val="15"/>
                              <w:szCs w:val="15"/>
                              <w:lang w:val="en-US" w:eastAsia="zh-CN"/>
                            </w:rPr>
                            <w:t>化学反应前后元素守恒</w:t>
                          </w:r>
                        </w:p>
                      </w:txbxContent>
                    </v:textbox>
                  </v:shape>
                  <v:shape id="_x0000_s1026" o:spid="_x0000_s1026" o:spt="202" type="#_x0000_t202" style="position:absolute;left:5882;top:11881;height:464;width:1575;" filled="f" stroked="t" coordsize="21600,21600" o:gfxdata="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HEsL4A&#10;AADbAAAADwAAAAAAAAABACAAAAAiAAAAZHJzL2Rvd25yZXYueG1sUEsBAhQAFAAAAAgAh07iQDMv&#10;BZ47AAAAOQAAABAAAAAAAAAAAQAgAAAADQEAAGRycy9zaGFwZXhtbC54bWxQSwUGAAAAAAYABgBb&#10;AQAAtwMAAAAA&#10;">
                    <v:fill on="f" focussize="0,0"/>
                    <v:stroke color="#000000 [3213]" joinstyle="round" dashstyle="longDash"/>
                    <v:imagedata o:title=""/>
                    <o:lock v:ext="edit" aspectratio="f"/>
                    <v:textbox>
                      <w:txbxContent>
                        <w:p w14:paraId="36CD69EC">
                          <w:pPr>
                            <w:jc w:val="center"/>
                            <w:rPr>
                              <w:rFonts w:eastAsiaTheme="minor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单元核心知识</w:t>
                          </w:r>
                        </w:p>
                      </w:txbxContent>
                    </v:textbox>
                  </v:shape>
                  <v:shape id="文本框 33" o:spid="_x0000_s1026" o:spt="202" type="#_x0000_t202" style="position:absolute;left:9881;top:11576;height:1075;width:1450;" filled="f" stroked="t" coordsize="21600,21600" o:gfxdata="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zCLm8AAAA&#10;3A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14:paraId="44DBC287">
                          <w:pP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定量</w:t>
                          </w:r>
                          <w:r>
                            <w:rPr>
                              <w:rFonts w:hint="eastAsia"/>
                              <w:color w:val="000000" w:themeColor="text1"/>
                              <w:sz w:val="15"/>
                              <w:szCs w:val="15"/>
                              <w14:textFill>
                                <w14:solidFill>
                                  <w14:schemeClr w14:val="tx1"/>
                                </w14:solidFill>
                              </w14:textFill>
                            </w:rPr>
                            <w:t>计算，</w:t>
                          </w:r>
                          <w:r>
                            <w:rPr>
                              <w:rFonts w:hint="eastAsia"/>
                              <w:color w:val="000000" w:themeColor="text1"/>
                              <w:sz w:val="15"/>
                              <w:szCs w:val="15"/>
                              <w:lang w:val="en-US" w:eastAsia="zh-CN"/>
                              <w14:textFill>
                                <w14:solidFill>
                                  <w14:schemeClr w14:val="tx1"/>
                                </w14:solidFill>
                              </w14:textFill>
                            </w:rPr>
                            <w:t>依据化合价</w:t>
                          </w:r>
                          <w:r>
                            <w:rPr>
                              <w:rFonts w:hint="eastAsia"/>
                              <w:color w:val="000000" w:themeColor="text1"/>
                              <w:sz w:val="15"/>
                              <w:szCs w:val="15"/>
                              <w14:textFill>
                                <w14:solidFill>
                                  <w14:schemeClr w14:val="tx1"/>
                                </w14:solidFill>
                              </w14:textFill>
                            </w:rPr>
                            <w:t>拆写复杂物质化学式</w:t>
                          </w:r>
                        </w:p>
                      </w:txbxContent>
                    </v:textbox>
                  </v:shape>
                  <v:shape id="文本框 31" o:spid="_x0000_s1026" o:spt="202" type="#_x0000_t202" style="position:absolute;left:11807;top:11578;height:1075;width:1888;" filled="f" stroked="t" coordsize="21600,21600" o:gfxdata="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Zqhe8AAAA&#10;2w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14:paraId="6FC1468E">
                          <w:pPr>
                            <w:rPr>
                              <w:rFonts w:ascii="Times New Roman" w:hAnsi="Times New Roman" w:eastAsia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sz w:val="15"/>
                              <w:szCs w:val="15"/>
                            </w:rPr>
                            <w:t>铁粉到莫尔盐的转化，</w:t>
                          </w:r>
                          <w:r>
                            <w:rPr>
                              <w:rFonts w:hint="eastAsia" w:ascii="Times New Roman" w:hAnsi="Times New Roman"/>
                              <w:color w:val="000000" w:themeColor="text1"/>
                              <w:sz w:val="15"/>
                              <w:szCs w:val="15"/>
                              <w14:textFill>
                                <w14:solidFill>
                                  <w14:schemeClr w14:val="tx1"/>
                                </w14:solidFill>
                              </w14:textFill>
                            </w:rPr>
                            <w:t>溶解度的应用，过滤、结晶、洗涤等物质分离的方法</w:t>
                          </w:r>
                        </w:p>
                      </w:txbxContent>
                    </v:textbox>
                  </v:shape>
                  <v:group id="组合 41" o:spid="_x0000_s1026" o:spt="203" style="position:absolute;left:9425;top:12059;height:124;width:2382;" coordorigin="9425,11963" coordsize="2382,124"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组合 35" o:spid="_x0000_s1026" o:spt="203" style="position:absolute;left:9596;top:11796;flip:x;height:463;width:120;rotation:-5898240f;" coordorigin="10246,10912" coordsize="139,491" o:gfxdata="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0p8hvAAAANsAAAAPAAAAAAAAAAEAIAAAACIAAABkcnMvZG93bnJldi54bWxQ&#10;SwECFAAUAAAACACHTuJAMy8FnjsAAAA5AAAAFQAAAAAAAAABACAAAAALAQAAZHJzL2dyb3Vwc2hh&#10;cGV4bWwueG1sUEsFBgAAAAAGAAYAYAEAAMgDAAAAAA==&#10;">
                      <o:lock v:ext="edit" aspectratio="f"/>
                      <v:shape id="等腰三角形 11" o:spid="_x0000_s1026" o:spt="5" type="#_x0000_t5" style="position:absolute;left:10246;top:10912;height:245;width:139;v-text-anchor:middle;" fillcolor="#000000 [3213]" filled="t" stroked="f" coordsize="21600,21600" o:gfxdata="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gIibm2AAAA2wAAAA8A&#10;AAAAAAAAAQAgAAAAIgAAAGRycy9kb3ducmV2LnhtbFBLAQIUABQAAAAIAIdO4kAzLwWeOwAAADkA&#10;AAAQAAAAAAAAAAEAIAAAAAUBAABkcnMvc2hhcGV4bWwueG1sUEsFBgAAAAAGAAYAWwEAAK8DAAAA&#10;AA==&#10;" adj="10800">
                        <v:fill on="t" focussize="0,0"/>
                        <v:stroke on="f" weight="1pt" miterlimit="8" joinstyle="miter"/>
                        <v:imagedata o:title=""/>
                        <o:lock v:ext="edit" aspectratio="f"/>
                      </v:shape>
                      <v:line id="直接连接符 12" o:spid="_x0000_s1026" o:spt="20" style="position:absolute;left:10318;top:11140;height:263;width:0;" filled="f" stroked="t" coordsize="21600,21600" o:gfxdata="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LDQ7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v:group id="组合 38" o:spid="_x0000_s1026" o:spt="203" style="position:absolute;left:11510;top:11791;flip:x;height:469;width:124;rotation:-5898240f;" coordorigin="10248,10909" coordsize="144,497" o:gfxdata="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Lbl/eLoAAADcAAAADwAAAAAAAAABACAAAAAiAAAAZHJzL2Rvd25yZXYueG1sUEsB&#10;AhQAFAAAAAgAh07iQDMvBZ47AAAAOQAAABUAAAAAAAAAAQAgAAAACQEAAGRycy9ncm91cHNoYXBl&#10;eG1sLnhtbFBLBQYAAAAABgAGAGABAADGAwAAAAA=&#10;">
                      <o:lock v:ext="edit" aspectratio="f"/>
                      <v:shape id="等腰三角形 11" o:spid="_x0000_s1026" o:spt="5" type="#_x0000_t5" style="position:absolute;left:10248;top:10909;height:246;width:144;v-text-anchor:middle;" fillcolor="#000000 [3213]" filled="t" stroked="f" coordsize="21600,21600" o:gfxdata="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RHNvQAA&#10;ANs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v:line id="直接连接符 12" o:spid="_x0000_s1026" o:spt="20" style="position:absolute;left:10315;top:11143;height:263;width:0;" filled="f" stroked="t" coordsize="21600,21600" o:gfxdata="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r0qbsAAADb&#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group>
                  </v:group>
                  <v:shape id="左中括号 42" o:spid="_x0000_s1026" o:spt="85" type="#_x0000_t85" style="position:absolute;left:10587;top:9013;height:4475;width:138;rotation:-5898240f;" filled="f" stroked="t" coordsize="21600,21600" o:gfxdata="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O5lO8AAAA&#10;2wAAAA8AAAAAAAAAAQAgAAAAIgAAAGRycy9kb3ducmV2LnhtbFBLAQIUABQAAAAIAIdO4kAzLwWe&#10;OwAAADkAAAAQAAAAAAAAAAEAIAAAAAsBAABkcnMvc2hhcGV4bWwueG1sUEsFBgAAAAAGAAYAWwEA&#10;ALUDAAAAAA==&#10;" adj="55">
                    <v:fill on="f" focussize="0,0"/>
                    <v:stroke color="#000000 [3213]" miterlimit="8" joinstyle="miter"/>
                    <v:imagedata o:title=""/>
                    <o:lock v:ext="edit" aspectratio="f"/>
                  </v:shape>
                  <v:roundrect id="圆角矩形 46" o:spid="_x0000_s1026" o:spt="2" style="position:absolute;left:5787;top:11509;height:1225;width:8075;v-text-anchor:middle;" filled="f" stroked="t" coordsize="21600,21600" arcsize="0.156712962962963" o:gfxdata="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oaHe8AAAA&#10;2wAAAA8AAAAAAAAAAQAgAAAAIgAAAGRycy9kb3ducmV2LnhtbFBLAQIUABQAAAAIAIdO4kAzLwWe&#10;OwAAADkAAAAQAAAAAAAAAAEAIAAAAAsBAABkcnMvc2hhcGV4bWwueG1sUEsFBgAAAAAGAAYAWwEA&#10;ALUDAAAAAA==&#10;">
                    <v:fill on="f" focussize="0,0"/>
                    <v:stroke weight="0.5pt" color="#000000 [3213]" miterlimit="8" joinstyle="miter" dashstyle="longDash"/>
                    <v:imagedata o:title=""/>
                    <o:lock v:ext="edit" aspectratio="f"/>
                  </v:roundrect>
                  <v:roundrect id="圆角矩形 47" o:spid="_x0000_s1026" o:spt="2" style="position:absolute;left:5789;top:9465;height:1807;width:8075;v-text-anchor:middle;" filled="f" stroked="t" coordsize="21600,21600" arcsize="0.0971296296296296" o:gfxdata="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L6&#10;csEAAADcAAAADwAAAAAAAAABACAAAAAiAAAAZHJzL2Rvd25yZXYueG1sUEsBAhQAFAAAAAgAh07i&#10;QDMvBZ47AAAAOQAAABAAAAAAAAAAAQAgAAAAEAEAAGRycy9zaGFwZXhtbC54bWxQSwUGAAAAAAYA&#10;BgBbAQAAugMAAAAA&#10;">
                    <v:fill on="f" focussize="0,0"/>
                    <v:stroke weight="0.5pt" color="#000000 [3213]" miterlimit="8" joinstyle="miter" dashstyle="longDash"/>
                    <v:imagedata o:title=""/>
                    <o:lock v:ext="edit" aspectratio="f"/>
                  </v:roundrect>
                  <v:roundrect id="圆角矩形 48" o:spid="_x0000_s1026" o:spt="2" style="position:absolute;left:5791;top:8011;height:1241;width:8075;v-text-anchor:middle;" filled="f" stroked="t" coordsize="21600,21600" arcsize="0.156712962962963" o:gfxdata="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1VmL4A&#10;AADbAAAADwAAAAAAAAABACAAAAAiAAAAZHJzL2Rvd25yZXYueG1sUEsBAhQAFAAAAAgAh07iQDMv&#10;BZ47AAAAOQAAABAAAAAAAAAAAQAgAAAADQEAAGRycy9zaGFwZXhtbC54bWxQSwUGAAAAAAYABgBb&#10;AQAAtwMAAAAA&#10;">
                    <v:fill on="f" focussize="0,0"/>
                    <v:stroke weight="0.5pt" color="#000000 [3213]" miterlimit="8" joinstyle="miter" dashstyle="longDash"/>
                    <v:imagedata o:title=""/>
                    <o:lock v:ext="edit" aspectratio="f"/>
                  </v:roundrect>
                </v:group>
                <w10:wrap type="none"/>
                <w10:anchorlock/>
              </v:group>
            </w:pict>
          </mc:Fallback>
        </mc:AlternateContent>
      </w:r>
    </w:p>
    <w:p w14:paraId="62CB87DA">
      <w:pPr>
        <w:jc w:val="center"/>
        <w:rPr>
          <w:rFonts w:hint="eastAsia" w:ascii="宋体" w:hAnsi="宋体" w:cs="宋体"/>
          <w:szCs w:val="21"/>
        </w:rPr>
      </w:pPr>
      <w:r>
        <w:rPr>
          <w:rFonts w:hint="eastAsia" w:ascii="黑体" w:hAnsi="黑体" w:eastAsia="黑体" w:cs="黑体"/>
          <w:color w:val="000000"/>
          <w:sz w:val="18"/>
          <w:szCs w:val="18"/>
        </w:rPr>
        <w:t xml:space="preserve">图1 </w:t>
      </w:r>
      <w:r>
        <w:rPr>
          <w:rFonts w:hint="eastAsia" w:ascii="黑体" w:hAnsi="黑体" w:eastAsia="黑体" w:cs="黑体"/>
          <w:sz w:val="18"/>
          <w:szCs w:val="18"/>
        </w:rPr>
        <w:t>基于大概念的“莫尔盐专题”单元整体架构</w:t>
      </w:r>
    </w:p>
    <w:p w14:paraId="3B3FF00E">
      <w:pPr>
        <w:ind w:firstLine="420" w:firstLineChars="200"/>
        <w:rPr>
          <w:rFonts w:hint="eastAsia" w:ascii="宋体" w:hAnsi="宋体" w:eastAsia="宋体" w:cs="宋体"/>
          <w:lang w:val="en-US" w:eastAsia="zh-CN"/>
        </w:rPr>
      </w:pPr>
      <w:r>
        <w:rPr>
          <w:rFonts w:hint="eastAsia" w:ascii="宋体" w:hAnsi="宋体" w:cs="宋体"/>
          <w:color w:val="000000"/>
          <w:szCs w:val="21"/>
          <w:lang w:val="en-US" w:eastAsia="zh-CN"/>
        </w:rPr>
        <w:t>课时1</w:t>
      </w:r>
      <w:r>
        <w:rPr>
          <w:rFonts w:hint="eastAsia" w:ascii="宋体" w:hAnsi="宋体" w:cs="宋体"/>
          <w:color w:val="000000"/>
          <w:szCs w:val="21"/>
        </w:rPr>
        <w:t>“</w:t>
      </w:r>
      <w:r>
        <w:rPr>
          <w:rFonts w:hint="eastAsia" w:ascii="宋体" w:hAnsi="宋体" w:cs="宋体"/>
          <w:szCs w:val="21"/>
        </w:rPr>
        <w:t>初识莫尔盐</w:t>
      </w:r>
      <w:r>
        <w:rPr>
          <w:rFonts w:hint="eastAsia" w:ascii="宋体" w:hAnsi="宋体" w:cs="宋体"/>
          <w:color w:val="000000"/>
          <w:szCs w:val="21"/>
        </w:rPr>
        <w:t>”</w:t>
      </w:r>
      <w:r>
        <w:rPr>
          <w:rFonts w:hint="eastAsia" w:ascii="宋体" w:hAnsi="宋体" w:cs="宋体"/>
          <w:color w:val="000000"/>
          <w:szCs w:val="21"/>
          <w:lang w:val="en-US" w:eastAsia="zh-CN"/>
        </w:rPr>
        <w:t>涵盖氢氧化钠等物质的相关性质、化学反应前后元素守恒等核心知识</w:t>
      </w:r>
      <w:r>
        <w:rPr>
          <w:rFonts w:hint="eastAsia" w:ascii="宋体" w:hAnsi="宋体" w:cs="宋体"/>
          <w:lang w:eastAsia="zh-CN"/>
        </w:rPr>
        <w:t>。</w:t>
      </w:r>
      <w:r>
        <w:rPr>
          <w:rFonts w:hint="eastAsia" w:ascii="宋体" w:hAnsi="宋体" w:cs="宋体"/>
          <w:lang w:val="en-US" w:eastAsia="zh-CN"/>
        </w:rPr>
        <w:t>教学中，通过从微观构成角度分析莫尔盐的宏观性质，培养学生“宏微结合”的思维能力；利用“</w:t>
      </w:r>
      <w:r>
        <w:rPr>
          <w:rFonts w:hint="eastAsia" w:ascii="宋体" w:hAnsi="宋体" w:cs="宋体"/>
          <w:sz w:val="21"/>
          <w:szCs w:val="21"/>
        </w:rPr>
        <w:t>反应前后元素种类不变</w:t>
      </w:r>
      <w:r>
        <w:rPr>
          <w:rFonts w:hint="eastAsia" w:ascii="宋体" w:hAnsi="宋体" w:cs="宋体"/>
          <w:lang w:val="en-US" w:eastAsia="zh-CN"/>
        </w:rPr>
        <w:t>”思想猜想莫尔盐分解的产物，发展学生的元素观；通过制定实验方案对猜想进行验证，</w:t>
      </w:r>
      <w:r>
        <w:rPr>
          <w:rFonts w:hint="eastAsia" w:ascii="宋体" w:hAnsi="宋体" w:cs="宋体"/>
          <w:szCs w:val="21"/>
        </w:rPr>
        <w:t>提升学生的</w:t>
      </w:r>
      <w:r>
        <w:rPr>
          <w:rFonts w:hint="eastAsia"/>
          <w:szCs w:val="21"/>
        </w:rPr>
        <w:t>科学探究能力、解决简单问题的方案设计能力</w:t>
      </w:r>
      <w:r>
        <w:rPr>
          <w:rFonts w:hint="eastAsia"/>
          <w:szCs w:val="21"/>
          <w:lang w:val="en-US" w:eastAsia="zh-CN"/>
        </w:rPr>
        <w:t>和与他人沟通交流、合作解决问题的能力</w:t>
      </w:r>
      <w:r>
        <w:rPr>
          <w:rFonts w:hint="eastAsia"/>
          <w:szCs w:val="21"/>
        </w:rPr>
        <w:t>等</w:t>
      </w:r>
      <w:r>
        <w:rPr>
          <w:rFonts w:hint="eastAsia"/>
          <w:szCs w:val="21"/>
          <w:lang w:eastAsia="zh-CN"/>
        </w:rPr>
        <w:t>。</w:t>
      </w:r>
    </w:p>
    <w:p w14:paraId="0B098526">
      <w:pPr>
        <w:ind w:firstLine="420" w:firstLineChars="200"/>
        <w:rPr>
          <w:rFonts w:hint="default"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课时2</w:t>
      </w:r>
      <w:r>
        <w:rPr>
          <w:rFonts w:hint="eastAsia" w:asciiTheme="minorEastAsia" w:hAnsiTheme="minorEastAsia" w:eastAsiaTheme="minorEastAsia" w:cstheme="minorEastAsia"/>
          <w:color w:val="000000"/>
          <w:szCs w:val="21"/>
        </w:rPr>
        <w:t>“</w:t>
      </w:r>
      <w:r>
        <w:rPr>
          <w:rFonts w:hint="eastAsia" w:ascii="Times New Roman" w:hAnsi="Times New Roman"/>
          <w:szCs w:val="21"/>
        </w:rPr>
        <w:t>走进莫尔盐</w:t>
      </w:r>
      <w:r>
        <w:rPr>
          <w:rFonts w:hint="eastAsia" w:asciiTheme="minorEastAsia" w:hAnsiTheme="minorEastAsia" w:eastAsiaTheme="minorEastAsia" w:cstheme="minorEastAsia"/>
          <w:color w:val="000000"/>
          <w:szCs w:val="21"/>
        </w:rPr>
        <w:t>”涉及利用化学反应进行定量计算、依据化合价拆写复杂物质化学式等核心知识</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教学中，通过定量计算</w:t>
      </w:r>
      <w:r>
        <w:rPr>
          <w:rFonts w:hint="eastAsia" w:asciiTheme="minorEastAsia" w:hAnsiTheme="minorEastAsia" w:eastAsiaTheme="minorEastAsia" w:cstheme="minorEastAsia"/>
          <w:color w:val="000000"/>
          <w:szCs w:val="21"/>
        </w:rPr>
        <w:t>确定莫尔盐的化学式，发展学生从定性到定量认识物质的科学思维</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通过</w:t>
      </w:r>
      <w:r>
        <w:rPr>
          <w:rFonts w:hint="eastAsia" w:asciiTheme="minorEastAsia" w:hAnsiTheme="minorEastAsia" w:eastAsiaTheme="minorEastAsia" w:cstheme="minorEastAsia"/>
          <w:color w:val="000000"/>
          <w:szCs w:val="21"/>
          <w:lang w:val="en-US" w:eastAsia="zh-CN"/>
        </w:rPr>
        <w:t>归纳</w:t>
      </w:r>
      <w:r>
        <w:rPr>
          <w:rFonts w:hint="eastAsia" w:asciiTheme="minorEastAsia" w:hAnsiTheme="minorEastAsia" w:eastAsiaTheme="minorEastAsia" w:cstheme="minorEastAsia"/>
          <w:color w:val="000000"/>
          <w:szCs w:val="21"/>
        </w:rPr>
        <w:t>“</w:t>
      </w:r>
      <w:r>
        <w:rPr>
          <w:rFonts w:hint="eastAsia" w:ascii="宋体" w:hAnsi="宋体" w:cs="宋体"/>
          <w:sz w:val="21"/>
          <w:szCs w:val="21"/>
        </w:rPr>
        <w:t>确定</w:t>
      </w:r>
      <w:r>
        <w:rPr>
          <w:rFonts w:hint="eastAsia" w:ascii="宋体" w:hAnsi="宋体" w:cs="宋体"/>
          <w:sz w:val="21"/>
          <w:szCs w:val="21"/>
          <w:lang w:val="en-US" w:eastAsia="zh-CN"/>
        </w:rPr>
        <w:t>类似莫尔盐的</w:t>
      </w:r>
      <w:r>
        <w:rPr>
          <w:rFonts w:hint="eastAsia" w:ascii="宋体" w:hAnsi="宋体" w:cs="宋体"/>
          <w:sz w:val="21"/>
          <w:szCs w:val="21"/>
        </w:rPr>
        <w:t>陌生物质</w:t>
      </w:r>
      <w:r>
        <w:rPr>
          <w:rFonts w:hint="eastAsia" w:ascii="宋体" w:hAnsi="宋体" w:cs="宋体"/>
          <w:sz w:val="21"/>
          <w:szCs w:val="21"/>
          <w:lang w:val="en-US" w:eastAsia="zh-CN"/>
        </w:rPr>
        <w:t>的</w:t>
      </w:r>
      <w:r>
        <w:rPr>
          <w:rFonts w:hint="eastAsia" w:ascii="宋体" w:hAnsi="宋体" w:cs="宋体"/>
          <w:sz w:val="21"/>
          <w:szCs w:val="21"/>
        </w:rPr>
        <w:t>化学式</w:t>
      </w:r>
      <w:r>
        <w:rPr>
          <w:rFonts w:hint="eastAsia" w:ascii="Times New Roman" w:hAnsi="Times New Roman"/>
          <w:szCs w:val="21"/>
        </w:rPr>
        <w:t>”“</w:t>
      </w:r>
      <w:r>
        <w:rPr>
          <w:rFonts w:hint="eastAsia"/>
          <w:szCs w:val="21"/>
        </w:rPr>
        <w:t>认识</w:t>
      </w:r>
      <w:r>
        <w:rPr>
          <w:rFonts w:hint="eastAsia" w:ascii="宋体" w:hAnsi="宋体" w:cs="宋体"/>
          <w:szCs w:val="21"/>
        </w:rPr>
        <w:t>类似莫尔盐的</w:t>
      </w:r>
      <w:r>
        <w:rPr>
          <w:rFonts w:ascii="Times New Roman" w:hAnsi="Times New Roman"/>
          <w:szCs w:val="21"/>
        </w:rPr>
        <w:t>陌生物质</w:t>
      </w:r>
      <w:r>
        <w:rPr>
          <w:rFonts w:hint="eastAsia" w:ascii="Times New Roman" w:hAnsi="Times New Roman"/>
          <w:szCs w:val="21"/>
        </w:rPr>
        <w:t>的化学性质”的一般思路和方法，</w:t>
      </w:r>
      <w:r>
        <w:rPr>
          <w:rFonts w:hint="eastAsia" w:ascii="Times New Roman" w:hAnsi="Times New Roman"/>
          <w:szCs w:val="21"/>
          <w:lang w:val="en-US" w:eastAsia="zh-CN"/>
        </w:rPr>
        <w:t>培养</w:t>
      </w:r>
      <w:r>
        <w:rPr>
          <w:rFonts w:hint="eastAsia" w:ascii="Times New Roman" w:hAnsi="Times New Roman"/>
          <w:szCs w:val="21"/>
        </w:rPr>
        <w:t>学生分析、综合和归纳等</w:t>
      </w:r>
      <w:r>
        <w:rPr>
          <w:rFonts w:hint="eastAsia" w:ascii="Times New Roman" w:hAnsi="Times New Roman"/>
          <w:szCs w:val="21"/>
          <w:lang w:val="en-US" w:eastAsia="zh-CN"/>
        </w:rPr>
        <w:t>思维能力</w:t>
      </w:r>
      <w:r>
        <w:rPr>
          <w:rFonts w:hint="eastAsia" w:ascii="Times New Roman" w:hAnsi="Times New Roman"/>
          <w:szCs w:val="21"/>
        </w:rPr>
        <w:t>。</w:t>
      </w:r>
    </w:p>
    <w:p w14:paraId="48BA2A46">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lang w:val="en-US" w:eastAsia="zh-CN"/>
        </w:rPr>
        <w:t>课时3</w:t>
      </w:r>
      <w:r>
        <w:rPr>
          <w:rFonts w:hint="eastAsia" w:asciiTheme="minorEastAsia" w:hAnsiTheme="minorEastAsia" w:eastAsiaTheme="minorEastAsia" w:cstheme="minorEastAsia"/>
          <w:color w:val="000000"/>
          <w:szCs w:val="21"/>
        </w:rPr>
        <w:t>“制备莫尔盐”涉及铁粉到莫尔盐的转化、溶解度的应用</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结晶等物质分离方法的选择等核心知识。</w:t>
      </w:r>
      <w:r>
        <w:rPr>
          <w:rFonts w:hint="eastAsia" w:asciiTheme="minorEastAsia" w:hAnsiTheme="minorEastAsia" w:eastAsiaTheme="minorEastAsia" w:cstheme="minorEastAsia"/>
          <w:color w:val="000000"/>
          <w:szCs w:val="21"/>
          <w:lang w:val="en-US" w:eastAsia="zh-CN"/>
        </w:rPr>
        <w:t>教学中，</w:t>
      </w:r>
      <w:r>
        <w:rPr>
          <w:rFonts w:hint="eastAsia" w:ascii="Times New Roman" w:hAnsi="Times New Roman" w:eastAsiaTheme="minorEastAsia"/>
          <w:szCs w:val="21"/>
          <w:lang w:val="en-US" w:eastAsia="zh-CN"/>
        </w:rPr>
        <w:t>通过对制备过程中反应原理、原料用量及产率的讨论，深化学生</w:t>
      </w:r>
      <w:r>
        <w:rPr>
          <w:rFonts w:hint="eastAsia" w:ascii="Times New Roman" w:hAnsi="Times New Roman" w:eastAsiaTheme="minorEastAsia"/>
          <w:sz w:val="21"/>
          <w:szCs w:val="21"/>
          <w:lang w:val="en-US" w:eastAsia="zh-CN"/>
        </w:rPr>
        <w:t>对</w:t>
      </w:r>
      <w:r>
        <w:rPr>
          <w:rFonts w:hint="eastAsia" w:ascii="宋体" w:hAnsi="宋体" w:cs="宋体"/>
          <w:sz w:val="21"/>
          <w:szCs w:val="21"/>
        </w:rPr>
        <w:t>“通过化学反应可以实现物质转化，且化学反应中的各物质间存在定量关系”</w:t>
      </w:r>
      <w:r>
        <w:rPr>
          <w:rFonts w:hint="eastAsia" w:ascii="宋体" w:hAnsi="宋体" w:cs="宋体"/>
          <w:sz w:val="21"/>
          <w:szCs w:val="21"/>
          <w:lang w:val="en-US" w:eastAsia="zh-CN"/>
        </w:rPr>
        <w:t>的认识；</w:t>
      </w:r>
      <w:r>
        <w:rPr>
          <w:rFonts w:hint="eastAsia" w:ascii="Times New Roman" w:hAnsi="Times New Roman" w:eastAsiaTheme="minorEastAsia"/>
          <w:szCs w:val="21"/>
          <w:lang w:val="en-US" w:eastAsia="zh-CN"/>
        </w:rPr>
        <w:t>通过对制备过程中条件控制、操作选择的讨论，让学生认识到物质的性质是条件控制和操作选择的重要依据，</w:t>
      </w:r>
      <w:r>
        <w:rPr>
          <w:rFonts w:hint="eastAsia" w:ascii="宋体" w:hAnsi="宋体" w:cs="宋体"/>
          <w:szCs w:val="21"/>
        </w:rPr>
        <w:t>感悟</w:t>
      </w:r>
      <w:r>
        <w:rPr>
          <w:rFonts w:hint="eastAsia" w:asciiTheme="minorEastAsia" w:hAnsiTheme="minorEastAsia" w:eastAsiaTheme="minorEastAsia" w:cstheme="minorEastAsia"/>
          <w:color w:val="000000"/>
          <w:szCs w:val="21"/>
        </w:rPr>
        <w:t>合理利用、调控化学反应</w:t>
      </w:r>
      <w:r>
        <w:rPr>
          <w:rFonts w:hint="eastAsia" w:asciiTheme="minorEastAsia" w:hAnsiTheme="minorEastAsia" w:eastAsiaTheme="minorEastAsia" w:cstheme="minorEastAsia"/>
          <w:color w:val="000000"/>
          <w:szCs w:val="21"/>
          <w:lang w:val="en-US" w:eastAsia="zh-CN"/>
        </w:rPr>
        <w:t>对提高产品产率的重要意义</w:t>
      </w:r>
      <w:r>
        <w:rPr>
          <w:rFonts w:hint="eastAsia" w:asciiTheme="minorEastAsia" w:hAnsiTheme="minorEastAsia" w:eastAsiaTheme="minorEastAsia" w:cstheme="minorEastAsia"/>
          <w:color w:val="000000"/>
          <w:szCs w:val="21"/>
        </w:rPr>
        <w:t>。</w:t>
      </w:r>
    </w:p>
    <w:p w14:paraId="0B462E8E">
      <w:pPr>
        <w:ind w:firstLine="420" w:firstLineChars="200"/>
        <w:rPr>
          <w:rFonts w:hint="default" w:ascii="宋体" w:hAnsi="宋体" w:eastAsia="宋体" w:cs="宋体"/>
          <w:sz w:val="21"/>
          <w:szCs w:val="21"/>
          <w:lang w:val="en-US" w:eastAsia="zh-CN"/>
        </w:rPr>
      </w:pPr>
      <w:r>
        <w:rPr>
          <w:rFonts w:hint="eastAsia" w:ascii="宋体" w:hAnsi="宋体" w:cs="宋体"/>
          <w:sz w:val="21"/>
          <w:szCs w:val="21"/>
          <w:lang w:val="en-US" w:eastAsia="zh-CN"/>
        </w:rPr>
        <w:t>同时，整个单元将</w:t>
      </w:r>
      <w:r>
        <w:rPr>
          <w:rFonts w:hint="eastAsia" w:ascii="宋体" w:hAnsi="宋体" w:cs="宋体"/>
          <w:szCs w:val="21"/>
          <w:lang w:val="en-US" w:eastAsia="zh-CN"/>
        </w:rPr>
        <w:t>莫尔盐的性质、组成、变化和制备作为认识莫尔盐的不同角度</w:t>
      </w:r>
      <w:r>
        <w:rPr>
          <w:rFonts w:hint="eastAsia" w:ascii="宋体" w:hAnsi="宋体" w:cs="宋体"/>
          <w:szCs w:val="21"/>
        </w:rPr>
        <w:t>，</w:t>
      </w:r>
      <w:r>
        <w:rPr>
          <w:rFonts w:hint="eastAsia" w:ascii="宋体" w:hAnsi="宋体" w:cs="宋体"/>
          <w:szCs w:val="21"/>
          <w:lang w:val="en-US" w:eastAsia="zh-CN"/>
        </w:rPr>
        <w:t>并在每个课时的教学中建立不同角度之间的学科逻辑关联，</w:t>
      </w:r>
      <w:r>
        <w:rPr>
          <w:rFonts w:hint="eastAsia" w:ascii="宋体" w:hAnsi="宋体" w:cs="宋体"/>
          <w:lang w:val="en-US" w:eastAsia="zh-CN"/>
        </w:rPr>
        <w:t>帮助学生建立多角度认识物质的方式，有助于</w:t>
      </w:r>
      <w:r>
        <w:rPr>
          <w:rFonts w:hint="eastAsia" w:ascii="宋体" w:hAnsi="宋体" w:cs="宋体"/>
          <w:szCs w:val="21"/>
          <w:lang w:val="en-US" w:eastAsia="zh-CN"/>
        </w:rPr>
        <w:t>发展其物质观。</w:t>
      </w:r>
    </w:p>
    <w:p w14:paraId="30A23748">
      <w:pPr>
        <w:rPr>
          <w:rFonts w:ascii="黑体" w:hAnsi="黑体" w:eastAsia="黑体" w:cs="黑体"/>
          <w:color w:val="000000"/>
          <w:sz w:val="21"/>
          <w:szCs w:val="21"/>
        </w:rPr>
      </w:pPr>
      <w:r>
        <w:rPr>
          <w:rFonts w:hint="eastAsia" w:ascii="黑体" w:hAnsi="黑体" w:eastAsia="黑体" w:cs="黑体"/>
          <w:color w:val="000000"/>
          <w:sz w:val="21"/>
          <w:szCs w:val="21"/>
          <w:lang w:val="en-US" w:eastAsia="zh-CN"/>
        </w:rPr>
        <w:t>2</w:t>
      </w:r>
      <w:r>
        <w:rPr>
          <w:rFonts w:hint="eastAsia" w:ascii="黑体" w:hAnsi="黑体" w:eastAsia="黑体" w:cs="黑体"/>
          <w:color w:val="000000"/>
          <w:sz w:val="21"/>
          <w:szCs w:val="21"/>
        </w:rPr>
        <w:t xml:space="preserve"> 学情分析</w:t>
      </w:r>
    </w:p>
    <w:p w14:paraId="68BF0CB5">
      <w:pPr>
        <w:ind w:firstLine="420" w:firstLineChars="200"/>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在</w:t>
      </w:r>
      <w:r>
        <w:rPr>
          <w:rFonts w:hint="eastAsia" w:asciiTheme="minorEastAsia" w:hAnsiTheme="minorEastAsia" w:eastAsiaTheme="minorEastAsia" w:cstheme="minorEastAsia"/>
          <w:color w:val="000000" w:themeColor="text1"/>
          <w:szCs w:val="21"/>
          <w14:textFill>
            <w14:solidFill>
              <w14:schemeClr w14:val="tx1"/>
            </w14:solidFill>
          </w14:textFill>
        </w:rPr>
        <w:t>新授课学习</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中</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学生知道可以从性质、组成、变化、制备这几方面学习物质，但绝大多数</w:t>
      </w:r>
      <w:r>
        <w:rPr>
          <w:rFonts w:hint="eastAsia" w:asciiTheme="minorEastAsia" w:hAnsiTheme="minorEastAsia" w:eastAsiaTheme="minorEastAsia" w:cstheme="minorEastAsia"/>
          <w:color w:val="000000" w:themeColor="text1"/>
          <w:szCs w:val="21"/>
          <w14:textFill>
            <w14:solidFill>
              <w14:schemeClr w14:val="tx1"/>
            </w14:solidFill>
          </w14:textFill>
        </w:rPr>
        <w:t>学生</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对物质的这些方面的认识仍是静态的，不会从物质的组成、变化、制备等视角认识物质的性质，没有建立性质、组成、变化、制备之间的学科逻辑关联。</w:t>
      </w:r>
    </w:p>
    <w:p w14:paraId="7B2298E8">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进入复习阶段，一方面学生</w:t>
      </w:r>
      <w:r>
        <w:rPr>
          <w:rFonts w:hint="eastAsia" w:asciiTheme="minorEastAsia" w:hAnsiTheme="minorEastAsia" w:eastAsiaTheme="minorEastAsia" w:cstheme="minorEastAsia"/>
          <w:color w:val="000000" w:themeColor="text1"/>
          <w:szCs w:val="21"/>
          <w14:textFill>
            <w14:solidFill>
              <w14:schemeClr w14:val="tx1"/>
            </w14:solidFill>
          </w14:textFill>
        </w:rPr>
        <w:t>已基本储备了本单元涉及到的核心知识，但</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这些知识大多数仍为碎片化、表面化的知识</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学生对其</w:t>
      </w:r>
      <w:r>
        <w:rPr>
          <w:rFonts w:hint="eastAsia" w:ascii="宋体" w:hAnsi="宋体" w:cs="宋体"/>
          <w:color w:val="000000" w:themeColor="text1"/>
          <w14:textFill>
            <w14:solidFill>
              <w14:schemeClr w14:val="tx1"/>
            </w14:solidFill>
          </w14:textFill>
        </w:rPr>
        <w:t>没有形成观念性、整体性的认识，导致知识的“迁移低”，很难运用到真实情境的问题解决之中</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如</w:t>
      </w:r>
      <w:r>
        <w:rPr>
          <w:rFonts w:hint="eastAsia" w:ascii="宋体" w:hAnsi="宋体" w:cs="宋体"/>
          <w:color w:val="000000"/>
        </w:rPr>
        <w:t>学生知道“</w:t>
      </w:r>
      <w:r>
        <w:rPr>
          <w:rFonts w:hint="eastAsia" w:ascii="宋体" w:hAnsi="宋体" w:cs="宋体"/>
          <w:color w:val="000000"/>
          <w:lang w:val="en-US" w:eastAsia="zh-CN"/>
        </w:rPr>
        <w:t>改变温度会使物质的溶解度降低”</w:t>
      </w:r>
      <w:r>
        <w:rPr>
          <w:rFonts w:hint="eastAsia" w:ascii="宋体" w:hAnsi="宋体" w:cs="宋体"/>
          <w:color w:val="000000"/>
        </w:rPr>
        <w:t>，但</w:t>
      </w:r>
      <w:r>
        <w:rPr>
          <w:rFonts w:hint="eastAsia" w:ascii="宋体" w:hAnsi="宋体" w:cs="宋体"/>
          <w:color w:val="000000"/>
          <w:lang w:val="en-US" w:eastAsia="zh-CN"/>
        </w:rPr>
        <w:t>他们</w:t>
      </w:r>
      <w:r>
        <w:rPr>
          <w:rFonts w:hint="eastAsia" w:ascii="宋体" w:hAnsi="宋体" w:cs="宋体"/>
          <w:color w:val="000000"/>
        </w:rPr>
        <w:t>无法将该知识进行迁移，很难解释“制备莫尔盐的过程中，</w:t>
      </w:r>
      <w:r>
        <w:rPr>
          <w:rFonts w:hint="eastAsia"/>
          <w:szCs w:val="21"/>
        </w:rPr>
        <w:t>铁粉与稀硫酸反应能否用酒精灯直接加热代替水浴加热？</w:t>
      </w:r>
      <w:r>
        <w:rPr>
          <w:rFonts w:hint="eastAsia"/>
        </w:rPr>
        <w:t>铁粉与稀硫酸反应完全后为何要趁热过滤而不能冷却至室温再过滤？</w:t>
      </w:r>
      <w:r>
        <w:rPr>
          <w:rFonts w:hint="eastAsia" w:ascii="宋体" w:hAnsi="宋体" w:cs="宋体"/>
          <w:color w:val="000000"/>
        </w:rPr>
        <w:t>”等问题。</w:t>
      </w:r>
      <w:r>
        <w:rPr>
          <w:rFonts w:hint="eastAsia" w:ascii="宋体" w:hAnsi="宋体" w:cs="宋体"/>
          <w:color w:val="000000"/>
          <w:lang w:val="en-US" w:eastAsia="zh-CN"/>
        </w:rPr>
        <w:t>另一方面学生</w:t>
      </w:r>
      <w:r>
        <w:rPr>
          <w:rFonts w:hint="eastAsia" w:ascii="宋体" w:hAnsi="宋体" w:cs="宋体"/>
          <w:color w:val="000000" w:themeColor="text1"/>
          <w14:textFill>
            <w14:solidFill>
              <w14:schemeClr w14:val="tx1"/>
            </w14:solidFill>
          </w14:textFill>
        </w:rPr>
        <w:t>已初步具备利用单一知识解决简单问题的能力，</w:t>
      </w:r>
      <w:r>
        <w:rPr>
          <w:rFonts w:hint="eastAsia" w:ascii="宋体" w:hAnsi="宋体" w:cs="宋体"/>
          <w:color w:val="000000" w:themeColor="text1"/>
          <w:lang w:val="en-US" w:eastAsia="zh-CN"/>
          <w14:textFill>
            <w14:solidFill>
              <w14:schemeClr w14:val="tx1"/>
            </w14:solidFill>
          </w14:textFill>
        </w:rPr>
        <w:t>但</w:t>
      </w:r>
      <w:r>
        <w:rPr>
          <w:rFonts w:hint="eastAsia" w:ascii="宋体" w:hAnsi="宋体" w:cs="宋体"/>
          <w:color w:val="000000" w:themeColor="text1"/>
          <w14:textFill>
            <w14:solidFill>
              <w14:schemeClr w14:val="tx1"/>
            </w14:solidFill>
          </w14:textFill>
        </w:rPr>
        <w:t>还不具备运用综合知识去解决</w:t>
      </w:r>
      <w:r>
        <w:rPr>
          <w:rFonts w:hint="eastAsia" w:ascii="宋体" w:hAnsi="宋体" w:cs="宋体"/>
          <w:color w:val="000000" w:themeColor="text1"/>
          <w:lang w:val="en-US" w:eastAsia="zh-CN"/>
          <w14:textFill>
            <w14:solidFill>
              <w14:schemeClr w14:val="tx1"/>
            </w14:solidFill>
          </w14:textFill>
        </w:rPr>
        <w:t>复杂</w:t>
      </w:r>
      <w:r>
        <w:rPr>
          <w:rFonts w:hint="eastAsia" w:ascii="宋体" w:hAnsi="宋体" w:cs="宋体"/>
          <w:color w:val="000000" w:themeColor="text1"/>
          <w14:textFill>
            <w14:solidFill>
              <w14:schemeClr w14:val="tx1"/>
            </w14:solidFill>
          </w14:textFill>
        </w:rPr>
        <w:t>问题的能力。</w:t>
      </w:r>
      <w:r>
        <w:rPr>
          <w:rFonts w:hint="eastAsia" w:ascii="宋体" w:hAnsi="宋体" w:cs="宋体"/>
          <w:color w:val="000000"/>
        </w:rPr>
        <w:t>如学生能根据化学式分析元素的化合价，能依据质量守恒定律列出化学反应中物质的质量关系、比例关系，但学生可能无法将化合价、质量关系和比例关系等知识综合起来去</w:t>
      </w:r>
      <w:r>
        <w:rPr>
          <w:rFonts w:hint="eastAsia" w:ascii="Times New Roman" w:hAnsi="Times New Roman"/>
        </w:rPr>
        <w:t>确定类似“莫尔盐”的陌生物质的化学式；学生非常熟悉过滤、结晶、洗涤等物质分离和提纯的方法，一旦将操作方法与物质转化、条件控制综合在一起去讨论物质的制备问题时，学生往往束手无策，很难将知识融会贯通。</w:t>
      </w:r>
    </w:p>
    <w:p w14:paraId="238EF462">
      <w:pPr>
        <w:rPr>
          <w:rFonts w:ascii="黑体" w:hAnsi="黑体" w:eastAsia="黑体" w:cs="黑体"/>
          <w:color w:val="000000"/>
          <w:sz w:val="21"/>
          <w:szCs w:val="21"/>
        </w:rPr>
      </w:pPr>
      <w:r>
        <w:rPr>
          <w:rFonts w:hint="eastAsia" w:ascii="黑体" w:hAnsi="黑体" w:eastAsia="黑体" w:cs="黑体"/>
          <w:color w:val="000000"/>
          <w:sz w:val="21"/>
          <w:szCs w:val="21"/>
          <w:lang w:val="en-US" w:eastAsia="zh-CN"/>
        </w:rPr>
        <w:t>3</w:t>
      </w:r>
      <w:r>
        <w:rPr>
          <w:rFonts w:hint="eastAsia" w:ascii="黑体" w:hAnsi="黑体" w:eastAsia="黑体" w:cs="黑体"/>
          <w:color w:val="000000"/>
          <w:sz w:val="21"/>
          <w:szCs w:val="21"/>
        </w:rPr>
        <w:t xml:space="preserve"> 大概念统整下的单元教学目标</w:t>
      </w:r>
    </w:p>
    <w:p w14:paraId="71C399E4">
      <w:pPr>
        <w:keepNext w:val="0"/>
        <w:keepLines w:val="0"/>
        <w:pageBreakBefore w:val="0"/>
        <w:widowControl w:val="0"/>
        <w:kinsoku/>
        <w:wordWrap/>
        <w:overflowPunct/>
        <w:topLinePunct w:val="0"/>
        <w:autoSpaceDE/>
        <w:autoSpaceDN/>
        <w:bidi w:val="0"/>
        <w:adjustRightInd/>
        <w:snapToGrid/>
        <w:spacing w:line="240" w:lineRule="auto"/>
        <w:ind w:firstLine="421"/>
        <w:textAlignment w:val="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color w:val="000000"/>
          <w:szCs w:val="21"/>
        </w:rPr>
        <w:t>结合</w:t>
      </w:r>
      <w:r>
        <w:rPr>
          <w:rFonts w:hint="eastAsia" w:asciiTheme="minorEastAsia" w:hAnsiTheme="minorEastAsia" w:eastAsiaTheme="minorEastAsia" w:cstheme="minorEastAsia"/>
          <w:color w:val="000000"/>
          <w:szCs w:val="21"/>
          <w:lang w:val="en-US" w:eastAsia="zh-CN"/>
        </w:rPr>
        <w:t>以上分析，</w:t>
      </w:r>
      <w:r>
        <w:rPr>
          <w:rFonts w:hint="eastAsia" w:asciiTheme="minorEastAsia" w:hAnsiTheme="minorEastAsia" w:eastAsiaTheme="minorEastAsia" w:cstheme="minorEastAsia"/>
          <w:color w:val="000000"/>
          <w:szCs w:val="21"/>
        </w:rPr>
        <w:t>依据2022版</w:t>
      </w:r>
      <w:r>
        <w:rPr>
          <w:rFonts w:hint="eastAsia" w:asciiTheme="minorEastAsia" w:hAnsiTheme="minorEastAsia" w:eastAsiaTheme="minorEastAsia" w:cstheme="minorEastAsia"/>
          <w:szCs w:val="21"/>
        </w:rPr>
        <w:t>课标的学业质量和相应化学主题的部分学业要求</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vertAlign w:val="superscript"/>
          <w:lang w:val="en-US" w:eastAsia="zh-CN"/>
        </w:rPr>
        <w:t>7</w:t>
      </w:r>
      <w:r>
        <w:rPr>
          <w:rFonts w:hint="eastAsia" w:asciiTheme="minorEastAsia" w:hAnsiTheme="minorEastAsia" w:eastAsiaTheme="minorEastAsia" w:cstheme="minorEastAsia"/>
          <w:szCs w:val="21"/>
          <w:vertAlign w:val="superscript"/>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研究设计了如下教学目标：</w:t>
      </w:r>
    </w:p>
    <w:p w14:paraId="07FFB532">
      <w:pPr>
        <w:keepNext w:val="0"/>
        <w:keepLines w:val="0"/>
        <w:pageBreakBefore w:val="0"/>
        <w:widowControl w:val="0"/>
        <w:kinsoku/>
        <w:wordWrap/>
        <w:overflowPunct/>
        <w:topLinePunct w:val="0"/>
        <w:autoSpaceDE/>
        <w:autoSpaceDN/>
        <w:bidi w:val="0"/>
        <w:adjustRightInd/>
        <w:snapToGrid/>
        <w:spacing w:line="240" w:lineRule="auto"/>
        <w:ind w:firstLine="42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color w:val="000000"/>
          <w:sz w:val="21"/>
          <w:szCs w:val="21"/>
          <w:lang w:val="en-US" w:eastAsia="zh-CN"/>
        </w:rPr>
        <w:t>运用</w:t>
      </w:r>
      <w:r>
        <w:rPr>
          <w:rFonts w:hint="eastAsia" w:asciiTheme="minorEastAsia" w:hAnsiTheme="minorEastAsia" w:eastAsiaTheme="minorEastAsia" w:cstheme="minorEastAsia"/>
          <w:color w:val="000000"/>
          <w:sz w:val="21"/>
          <w:szCs w:val="21"/>
        </w:rPr>
        <w:t>实验探究莫尔盐的性质，从宏观、微观、符号相结合的视角解释实验现象，</w:t>
      </w:r>
      <w:r>
        <w:rPr>
          <w:rFonts w:hint="eastAsia" w:asciiTheme="minorEastAsia" w:hAnsiTheme="minorEastAsia" w:eastAsiaTheme="minorEastAsia" w:cstheme="minorEastAsia"/>
          <w:sz w:val="21"/>
          <w:szCs w:val="21"/>
          <w:lang w:val="en-US" w:eastAsia="zh-CN"/>
        </w:rPr>
        <w:t>初步形成</w:t>
      </w:r>
      <w:r>
        <w:rPr>
          <w:rFonts w:hint="eastAsia" w:asciiTheme="minorEastAsia" w:hAnsiTheme="minorEastAsia" w:eastAsiaTheme="minorEastAsia" w:cstheme="minorEastAsia"/>
          <w:sz w:val="21"/>
          <w:szCs w:val="21"/>
        </w:rPr>
        <w:t>“物质的性质与组成有关”</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化学观念</w:t>
      </w:r>
      <w:r>
        <w:rPr>
          <w:rFonts w:hint="eastAsia" w:asciiTheme="minorEastAsia" w:hAnsiTheme="minorEastAsia" w:eastAsiaTheme="minorEastAsia" w:cstheme="minorEastAsia"/>
          <w:sz w:val="21"/>
          <w:szCs w:val="21"/>
          <w:lang w:val="en-US" w:eastAsia="zh-CN"/>
        </w:rPr>
        <w:t>和</w:t>
      </w:r>
      <w:r>
        <w:rPr>
          <w:rFonts w:hint="eastAsia" w:asciiTheme="minorEastAsia" w:hAnsiTheme="minorEastAsia" w:eastAsiaTheme="minorEastAsia" w:cstheme="minorEastAsia"/>
          <w:sz w:val="21"/>
          <w:szCs w:val="21"/>
        </w:rPr>
        <w:t>“宏微结合”的化学思维</w:t>
      </w:r>
      <w:r>
        <w:rPr>
          <w:rFonts w:hint="eastAsia" w:asciiTheme="minorEastAsia" w:hAnsiTheme="minorEastAsia" w:eastAsiaTheme="minorEastAsia" w:cstheme="minorEastAsia"/>
          <w:sz w:val="21"/>
          <w:szCs w:val="21"/>
          <w:lang w:eastAsia="zh-CN"/>
        </w:rPr>
        <w:t>；</w:t>
      </w:r>
    </w:p>
    <w:p w14:paraId="2D684DA6">
      <w:pPr>
        <w:keepNext w:val="0"/>
        <w:keepLines w:val="0"/>
        <w:pageBreakBefore w:val="0"/>
        <w:widowControl w:val="0"/>
        <w:kinsoku/>
        <w:wordWrap/>
        <w:overflowPunct/>
        <w:topLinePunct w:val="0"/>
        <w:autoSpaceDE/>
        <w:autoSpaceDN/>
        <w:bidi w:val="0"/>
        <w:adjustRightInd/>
        <w:snapToGrid/>
        <w:spacing w:line="240" w:lineRule="auto"/>
        <w:ind w:firstLine="421"/>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（2）通过</w:t>
      </w:r>
      <w:r>
        <w:rPr>
          <w:rFonts w:hint="eastAsia" w:asciiTheme="minorEastAsia" w:hAnsiTheme="minorEastAsia" w:eastAsiaTheme="minorEastAsia" w:cstheme="minorEastAsia"/>
          <w:color w:val="000000"/>
          <w:sz w:val="21"/>
          <w:szCs w:val="21"/>
        </w:rPr>
        <w:t>猜想莫尔盐受热分解的产物</w:t>
      </w:r>
      <w:r>
        <w:rPr>
          <w:rFonts w:hint="eastAsia" w:asciiTheme="minorEastAsia" w:hAnsiTheme="minorEastAsia" w:eastAsiaTheme="minorEastAsia" w:cstheme="minorEastAsia"/>
          <w:color w:val="000000"/>
          <w:sz w:val="21"/>
          <w:szCs w:val="21"/>
          <w:lang w:val="en-US" w:eastAsia="zh-CN"/>
        </w:rPr>
        <w:t>及</w:t>
      </w:r>
      <w:r>
        <w:rPr>
          <w:rFonts w:hint="eastAsia" w:asciiTheme="minorEastAsia" w:hAnsiTheme="minorEastAsia" w:eastAsiaTheme="minorEastAsia" w:cstheme="minorEastAsia"/>
          <w:color w:val="000000"/>
          <w:sz w:val="21"/>
          <w:szCs w:val="21"/>
        </w:rPr>
        <w:t>验证猜想</w:t>
      </w:r>
      <w:r>
        <w:rPr>
          <w:rFonts w:hint="eastAsia" w:asciiTheme="minorEastAsia" w:hAnsiTheme="minorEastAsia" w:eastAsiaTheme="minorEastAsia" w:cstheme="minorEastAsia"/>
          <w:color w:val="000000"/>
          <w:sz w:val="21"/>
          <w:szCs w:val="21"/>
          <w:lang w:val="en-US" w:eastAsia="zh-CN"/>
        </w:rPr>
        <w:t>的方案设计</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sz w:val="21"/>
          <w:szCs w:val="21"/>
          <w:lang w:val="en-US" w:eastAsia="zh-CN"/>
        </w:rPr>
        <w:t>发展</w:t>
      </w:r>
      <w:r>
        <w:rPr>
          <w:rFonts w:hint="eastAsia" w:asciiTheme="minorEastAsia" w:hAnsiTheme="minorEastAsia" w:eastAsiaTheme="minorEastAsia" w:cstheme="minorEastAsia"/>
          <w:sz w:val="21"/>
          <w:szCs w:val="21"/>
        </w:rPr>
        <w:t>“元素观”</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提升</w:t>
      </w:r>
      <w:r>
        <w:rPr>
          <w:rFonts w:hint="eastAsia" w:asciiTheme="minorEastAsia" w:hAnsiTheme="minorEastAsia" w:eastAsiaTheme="minorEastAsia" w:cstheme="minorEastAsia"/>
          <w:sz w:val="21"/>
          <w:szCs w:val="21"/>
        </w:rPr>
        <w:t>实证意识和推理能力</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设计简单实验方案的能力；</w:t>
      </w:r>
    </w:p>
    <w:p w14:paraId="71F5BFD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（3）学</w:t>
      </w:r>
      <w:r>
        <w:rPr>
          <w:rFonts w:hint="eastAsia" w:asciiTheme="minorEastAsia" w:hAnsiTheme="minorEastAsia" w:eastAsiaTheme="minorEastAsia" w:cstheme="minorEastAsia"/>
          <w:color w:val="000000"/>
          <w:sz w:val="21"/>
          <w:szCs w:val="21"/>
        </w:rPr>
        <w:t>会利用化合价、比例关系</w:t>
      </w:r>
      <w:r>
        <w:rPr>
          <w:rFonts w:hint="eastAsia" w:asciiTheme="minorEastAsia" w:hAnsiTheme="minorEastAsia" w:eastAsiaTheme="minorEastAsia" w:cstheme="minorEastAsia"/>
          <w:color w:val="000000"/>
          <w:sz w:val="21"/>
          <w:szCs w:val="21"/>
          <w:lang w:val="en-US" w:eastAsia="zh-CN"/>
        </w:rPr>
        <w:t>等</w:t>
      </w:r>
      <w:r>
        <w:rPr>
          <w:rFonts w:hint="eastAsia" w:asciiTheme="minorEastAsia" w:hAnsiTheme="minorEastAsia" w:eastAsiaTheme="minorEastAsia" w:cstheme="minorEastAsia"/>
          <w:color w:val="000000"/>
          <w:sz w:val="21"/>
          <w:szCs w:val="21"/>
        </w:rPr>
        <w:t>确定莫尔盐的化学式</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归纳</w:t>
      </w:r>
      <w:r>
        <w:rPr>
          <w:rFonts w:hint="eastAsia" w:asciiTheme="minorEastAsia" w:hAnsiTheme="minorEastAsia" w:eastAsiaTheme="minorEastAsia" w:cstheme="minorEastAsia"/>
          <w:sz w:val="21"/>
          <w:szCs w:val="21"/>
        </w:rPr>
        <w:t>确定</w:t>
      </w:r>
      <w:r>
        <w:rPr>
          <w:rFonts w:hint="eastAsia" w:asciiTheme="minorEastAsia" w:hAnsiTheme="minorEastAsia" w:eastAsiaTheme="minorEastAsia" w:cstheme="minorEastAsia"/>
          <w:sz w:val="21"/>
          <w:szCs w:val="21"/>
          <w:lang w:val="en-US" w:eastAsia="zh-CN"/>
        </w:rPr>
        <w:t>类似莫尔盐的</w:t>
      </w:r>
      <w:r>
        <w:rPr>
          <w:rFonts w:hint="eastAsia" w:asciiTheme="minorEastAsia" w:hAnsiTheme="minorEastAsia" w:eastAsiaTheme="minorEastAsia" w:cstheme="minorEastAsia"/>
          <w:sz w:val="21"/>
          <w:szCs w:val="21"/>
        </w:rPr>
        <w:t>陌生物质化学式的一般思路和方法</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sz w:val="21"/>
          <w:szCs w:val="21"/>
          <w:lang w:val="en-US" w:eastAsia="zh-CN"/>
        </w:rPr>
        <w:t>体会</w:t>
      </w:r>
      <w:r>
        <w:rPr>
          <w:rFonts w:hint="eastAsia" w:asciiTheme="minorEastAsia" w:hAnsiTheme="minorEastAsia" w:eastAsiaTheme="minorEastAsia" w:cstheme="minorEastAsia"/>
          <w:sz w:val="21"/>
          <w:szCs w:val="21"/>
        </w:rPr>
        <w:t>定量研究在解决实际问题中的重要作用</w:t>
      </w:r>
      <w:r>
        <w:rPr>
          <w:rFonts w:hint="eastAsia" w:asciiTheme="minorEastAsia" w:hAnsiTheme="minorEastAsia" w:eastAsiaTheme="minorEastAsia" w:cstheme="minorEastAsia"/>
          <w:sz w:val="21"/>
          <w:szCs w:val="21"/>
          <w:lang w:eastAsia="zh-CN"/>
        </w:rPr>
        <w:t>；</w:t>
      </w:r>
    </w:p>
    <w:p w14:paraId="15DB059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通过拆写类似莫尔盐的</w:t>
      </w:r>
      <w:r>
        <w:rPr>
          <w:rFonts w:hint="eastAsia" w:asciiTheme="minorEastAsia" w:hAnsiTheme="minorEastAsia" w:eastAsiaTheme="minorEastAsia" w:cstheme="minorEastAsia"/>
          <w:sz w:val="21"/>
          <w:szCs w:val="21"/>
        </w:rPr>
        <w:t>陌生物质</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化学式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从组成上分析类似莫尔盐的陌生物质的化学性质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sz w:val="21"/>
          <w:szCs w:val="21"/>
        </w:rPr>
        <w:t>用化学方程式表示莫尔盐的主要化学变化</w:t>
      </w:r>
      <w:r>
        <w:rPr>
          <w:rFonts w:hint="eastAsia" w:asciiTheme="minorEastAsia" w:hAnsiTheme="minorEastAsia" w:eastAsiaTheme="minorEastAsia" w:cstheme="minorEastAsia"/>
          <w:color w:val="000000"/>
          <w:sz w:val="21"/>
          <w:szCs w:val="21"/>
          <w:lang w:eastAsia="zh-CN"/>
        </w:rPr>
        <w:t>；</w:t>
      </w:r>
    </w:p>
    <w:p w14:paraId="0E793C7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5</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sz w:val="21"/>
          <w:szCs w:val="21"/>
          <w:lang w:val="en-US" w:eastAsia="zh-CN"/>
        </w:rPr>
        <w:t>通过</w:t>
      </w:r>
      <w:r>
        <w:rPr>
          <w:rFonts w:hint="eastAsia" w:asciiTheme="minorEastAsia" w:hAnsiTheme="minorEastAsia" w:eastAsiaTheme="minorEastAsia" w:cstheme="minorEastAsia"/>
          <w:szCs w:val="21"/>
          <w:lang w:val="en-US" w:eastAsia="zh-CN"/>
        </w:rPr>
        <w:t>对制备莫尔盐过程中反应原理、原料用量及产率的讨论，</w:t>
      </w:r>
      <w:r>
        <w:rPr>
          <w:rFonts w:hint="eastAsia" w:asciiTheme="minorEastAsia" w:hAnsiTheme="minorEastAsia" w:eastAsiaTheme="minorEastAsia" w:cstheme="minorEastAsia"/>
          <w:sz w:val="21"/>
          <w:szCs w:val="21"/>
        </w:rPr>
        <w:t>认识“在一定条件下通过化学反应可以实现物质转化，且化学反应中的各物质间存在定量关系”，</w:t>
      </w:r>
      <w:r>
        <w:rPr>
          <w:rFonts w:hint="eastAsia" w:asciiTheme="minorEastAsia" w:hAnsiTheme="minorEastAsia" w:eastAsiaTheme="minorEastAsia" w:cstheme="minorEastAsia"/>
          <w:sz w:val="21"/>
          <w:szCs w:val="21"/>
          <w:lang w:val="en-US" w:eastAsia="zh-CN"/>
        </w:rPr>
        <w:t>初步形成</w:t>
      </w:r>
      <w:r>
        <w:rPr>
          <w:rFonts w:hint="eastAsia" w:asciiTheme="minorEastAsia" w:hAnsiTheme="minorEastAsia" w:eastAsiaTheme="minorEastAsia" w:cstheme="minorEastAsia"/>
          <w:sz w:val="21"/>
          <w:szCs w:val="21"/>
        </w:rPr>
        <w:t>“变化观”</w:t>
      </w:r>
      <w:r>
        <w:rPr>
          <w:rFonts w:hint="eastAsia" w:asciiTheme="minorEastAsia" w:hAnsiTheme="minorEastAsia" w:eastAsiaTheme="minorEastAsia" w:cstheme="minorEastAsia"/>
          <w:sz w:val="21"/>
          <w:szCs w:val="21"/>
          <w:lang w:eastAsia="zh-CN"/>
        </w:rPr>
        <w:t>；</w:t>
      </w:r>
    </w:p>
    <w:p w14:paraId="2D84B31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sz w:val="21"/>
          <w:szCs w:val="21"/>
        </w:rPr>
        <w:t>分析制备莫尔盐过程中的物质转化、操作选择和条件控制</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感悟</w:t>
      </w:r>
      <w:r>
        <w:rPr>
          <w:rFonts w:hint="eastAsia" w:asciiTheme="minorEastAsia" w:hAnsiTheme="minorEastAsia" w:eastAsiaTheme="minorEastAsia" w:cstheme="minorEastAsia"/>
          <w:color w:val="000000"/>
          <w:sz w:val="21"/>
          <w:szCs w:val="21"/>
        </w:rPr>
        <w:t>合理利用、调控化学反应对</w:t>
      </w:r>
      <w:r>
        <w:rPr>
          <w:rFonts w:hint="eastAsia" w:asciiTheme="minorEastAsia" w:hAnsiTheme="minorEastAsia" w:eastAsiaTheme="minorEastAsia" w:cstheme="minorEastAsia"/>
          <w:color w:val="000000"/>
          <w:sz w:val="21"/>
          <w:szCs w:val="21"/>
          <w:lang w:val="en-US" w:eastAsia="zh-CN"/>
        </w:rPr>
        <w:t>提高产品产率</w:t>
      </w:r>
      <w:r>
        <w:rPr>
          <w:rFonts w:hint="eastAsia" w:asciiTheme="minorEastAsia" w:hAnsiTheme="minorEastAsia" w:eastAsiaTheme="minorEastAsia" w:cstheme="minorEastAsia"/>
          <w:color w:val="000000"/>
          <w:sz w:val="21"/>
          <w:szCs w:val="21"/>
        </w:rPr>
        <w:t>的重要意义</w:t>
      </w:r>
      <w:r>
        <w:rPr>
          <w:rFonts w:hint="eastAsia" w:asciiTheme="minorEastAsia" w:hAnsiTheme="minorEastAsia" w:eastAsiaTheme="minorEastAsia" w:cstheme="minorEastAsia"/>
          <w:color w:val="000000"/>
          <w:sz w:val="21"/>
          <w:szCs w:val="21"/>
          <w:lang w:eastAsia="zh-CN"/>
        </w:rPr>
        <w:t>；</w:t>
      </w:r>
    </w:p>
    <w:p w14:paraId="7674AD8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7</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通过建立</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从物质的组成、变化、制备等视角认识物质性质的方式，发展“物质观”。</w:t>
      </w:r>
    </w:p>
    <w:p w14:paraId="603056C0">
      <w:pP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 单元教学流程</w:t>
      </w:r>
    </w:p>
    <w:p w14:paraId="06BFF1BE">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本单元以莫尔盐为大情境，以研究莫尔盐的“性质→组成→制备”为主线，设置了“</w:t>
      </w:r>
      <w:r>
        <w:rPr>
          <w:rFonts w:hint="eastAsia" w:asciiTheme="minorEastAsia" w:hAnsiTheme="minorEastAsia" w:eastAsiaTheme="minorEastAsia" w:cstheme="minorEastAsia"/>
          <w:lang w:val="en-US" w:eastAsia="zh-CN"/>
        </w:rPr>
        <w:t>探究</w:t>
      </w:r>
      <w:r>
        <w:rPr>
          <w:rFonts w:hint="eastAsia" w:asciiTheme="minorEastAsia" w:hAnsiTheme="minorEastAsia" w:eastAsiaTheme="minorEastAsia" w:cstheme="minorEastAsia"/>
        </w:rPr>
        <w:t>莫尔盐</w:t>
      </w:r>
      <w:r>
        <w:rPr>
          <w:rFonts w:hint="eastAsia" w:asciiTheme="minorEastAsia" w:hAnsiTheme="minorEastAsia" w:eastAsiaTheme="minorEastAsia" w:cstheme="minorEastAsia"/>
          <w:lang w:val="en-US" w:eastAsia="zh-CN"/>
        </w:rPr>
        <w:t>的</w:t>
      </w:r>
      <w:r>
        <w:rPr>
          <w:rFonts w:hint="eastAsia" w:asciiTheme="minorEastAsia" w:hAnsiTheme="minorEastAsia" w:eastAsiaTheme="minorEastAsia" w:cstheme="minorEastAsia"/>
        </w:rPr>
        <w:t>性质”“</w:t>
      </w:r>
      <w:r>
        <w:rPr>
          <w:rFonts w:hint="eastAsia" w:asciiTheme="minorEastAsia" w:hAnsiTheme="minorEastAsia" w:eastAsiaTheme="minorEastAsia" w:cstheme="minorEastAsia"/>
          <w:lang w:val="en-US" w:eastAsia="zh-CN"/>
        </w:rPr>
        <w:t>确定</w:t>
      </w:r>
      <w:r>
        <w:rPr>
          <w:rFonts w:hint="eastAsia" w:asciiTheme="minorEastAsia" w:hAnsiTheme="minorEastAsia" w:eastAsiaTheme="minorEastAsia" w:cstheme="minorEastAsia"/>
        </w:rPr>
        <w:t>莫尔盐的化学式”“</w:t>
      </w:r>
      <w:r>
        <w:rPr>
          <w:rFonts w:hint="eastAsia" w:asciiTheme="minorEastAsia" w:hAnsiTheme="minorEastAsia" w:eastAsiaTheme="minorEastAsia" w:cstheme="minorEastAsia"/>
          <w:lang w:val="en-US" w:eastAsia="zh-CN"/>
        </w:rPr>
        <w:t>探究</w:t>
      </w:r>
      <w:r>
        <w:rPr>
          <w:rFonts w:hint="eastAsia" w:asciiTheme="minorEastAsia" w:hAnsiTheme="minorEastAsia" w:eastAsiaTheme="minorEastAsia" w:cstheme="minorEastAsia"/>
        </w:rPr>
        <w:t>莫尔盐</w:t>
      </w:r>
      <w:r>
        <w:rPr>
          <w:rFonts w:hint="eastAsia" w:asciiTheme="minorEastAsia" w:hAnsiTheme="minorEastAsia" w:eastAsiaTheme="minorEastAsia" w:cstheme="minorEastAsia"/>
          <w:lang w:val="en-US" w:eastAsia="zh-CN"/>
        </w:rPr>
        <w:t>的制备</w:t>
      </w:r>
      <w:r>
        <w:rPr>
          <w:rFonts w:hint="eastAsia" w:asciiTheme="minorEastAsia" w:hAnsiTheme="minorEastAsia" w:eastAsiaTheme="minorEastAsia" w:cstheme="minorEastAsia"/>
        </w:rPr>
        <w:t>”等驱动性</w:t>
      </w:r>
      <w:r>
        <w:rPr>
          <w:rFonts w:hint="eastAsia" w:asciiTheme="minorEastAsia" w:hAnsiTheme="minorEastAsia" w:eastAsiaTheme="minorEastAsia" w:cstheme="minorEastAsia"/>
          <w:lang w:val="en-US" w:eastAsia="zh-CN"/>
        </w:rPr>
        <w:t>任务</w:t>
      </w:r>
      <w:r>
        <w:rPr>
          <w:rFonts w:hint="eastAsia" w:asciiTheme="minorEastAsia" w:hAnsiTheme="minorEastAsia" w:eastAsiaTheme="minorEastAsia" w:cstheme="minorEastAsia"/>
        </w:rPr>
        <w:t>，学生通过自主实验探究、分析各类学习资源等活动，在师生和生生的提问、追问、观察和对话中，不断提出问题和解决问题，</w:t>
      </w:r>
      <w:r>
        <w:rPr>
          <w:rFonts w:hint="eastAsia" w:asciiTheme="minorEastAsia" w:hAnsiTheme="minorEastAsia" w:eastAsiaTheme="minorEastAsia" w:cstheme="minorEastAsia"/>
          <w:lang w:val="en-US" w:eastAsia="zh-CN"/>
        </w:rPr>
        <w:t>最终</w:t>
      </w:r>
      <w:r>
        <w:rPr>
          <w:rFonts w:hint="eastAsia" w:asciiTheme="minorEastAsia" w:hAnsiTheme="minorEastAsia" w:eastAsiaTheme="minorEastAsia" w:cstheme="minorEastAsia"/>
        </w:rPr>
        <w:t>实现核心素养的提升。具体单元教学流程见图2。</w:t>
      </w:r>
    </w:p>
    <w:p w14:paraId="6DF6BC9E">
      <w:pPr>
        <w:jc w:val="center"/>
        <w:rPr>
          <w:rFonts w:hint="eastAsia" w:asciiTheme="minorEastAsia" w:hAnsiTheme="minorEastAsia" w:eastAsiaTheme="minorEastAsia" w:cstheme="minorEastAsia"/>
        </w:rPr>
      </w:pPr>
      <w:r>
        <w:drawing>
          <wp:inline distT="0" distB="0" distL="114300" distR="114300">
            <wp:extent cx="5272405" cy="5190490"/>
            <wp:effectExtent l="0" t="0" r="4445" b="10160"/>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pic:cNvPicPr>
                  </pic:nvPicPr>
                  <pic:blipFill>
                    <a:blip r:embed="rId35"/>
                    <a:stretch>
                      <a:fillRect/>
                    </a:stretch>
                  </pic:blipFill>
                  <pic:spPr>
                    <a:xfrm>
                      <a:off x="0" y="0"/>
                      <a:ext cx="5272405" cy="5190490"/>
                    </a:xfrm>
                    <a:prstGeom prst="rect">
                      <a:avLst/>
                    </a:prstGeom>
                    <a:noFill/>
                    <a:ln>
                      <a:noFill/>
                    </a:ln>
                  </pic:spPr>
                </pic:pic>
              </a:graphicData>
            </a:graphic>
          </wp:inline>
        </w:drawing>
      </w:r>
    </w:p>
    <w:p w14:paraId="1FEE55DF">
      <w:pPr>
        <w:jc w:val="center"/>
        <w:rPr>
          <w:rFonts w:hint="eastAsia" w:ascii="黑体" w:hAnsi="黑体" w:eastAsia="黑体" w:cs="黑体"/>
          <w:color w:val="000000"/>
          <w:sz w:val="24"/>
        </w:rPr>
      </w:pPr>
      <w:r>
        <w:rPr>
          <w:rFonts w:hint="eastAsia" w:ascii="黑体" w:hAnsi="黑体" w:eastAsia="黑体" w:cs="黑体"/>
          <w:sz w:val="18"/>
          <w:szCs w:val="18"/>
        </w:rPr>
        <w:t xml:space="preserve">图2 </w:t>
      </w:r>
      <w:r>
        <w:rPr>
          <w:rFonts w:hint="eastAsia" w:ascii="黑体" w:hAnsi="黑体" w:eastAsia="黑体" w:cs="黑体"/>
          <w:sz w:val="18"/>
          <w:szCs w:val="18"/>
          <w:lang w:val="en-US" w:eastAsia="zh-CN"/>
        </w:rPr>
        <w:t>单元教学流程</w:t>
      </w:r>
    </w:p>
    <w:p w14:paraId="0B0C4B01">
      <w:pP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color w:val="000000"/>
          <w:sz w:val="21"/>
          <w:szCs w:val="21"/>
        </w:rPr>
        <w:t>5 单元教学过程</w:t>
      </w:r>
      <w:r>
        <w:rPr>
          <w:rFonts w:hint="eastAsia" w:asciiTheme="minorEastAsia" w:hAnsiTheme="minorEastAsia" w:eastAsiaTheme="minorEastAsia" w:cstheme="minorEastAsia"/>
          <w:color w:val="000000"/>
          <w:sz w:val="21"/>
          <w:szCs w:val="21"/>
          <w:lang w:val="en-US" w:eastAsia="zh-CN"/>
        </w:rPr>
        <w:t>(以课时3为例）</w:t>
      </w:r>
    </w:p>
    <w:p w14:paraId="2E9981B0">
      <w:pPr>
        <w:ind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val="0"/>
          <w:bCs w:val="0"/>
          <w:lang w:val="en-US" w:eastAsia="zh-CN"/>
        </w:rPr>
        <w:t>本单元共3个课时，课时3是帮助学生建构单元大概念的关键内容，其主要体现在：第一，解决物质的制备问题，需要综合运用物质的性质、组成、变化等知识，以解决物质制备问题为导向的教学，可以有效帮助学生建立起性质、组成、变化和制备之间的学科逻辑关联。第二，讨论制备的产品产率问题，既需要定性分析制备过程中物质的性质及变化，也需要定量分析制备过程中相关物质的“量”的多少。第三，研究物质的制备离不开实验探究，通过真实的实验制备出物质，能有效反映化学学科具有“通过化学变化创造物质”的本质特征，让学生切身感受化学学科的实用价值。以下呈现本课时的教学过程。</w:t>
      </w:r>
    </w:p>
    <w:p w14:paraId="19AB5102">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5.1 情境导入</w:t>
      </w:r>
    </w:p>
    <w:p w14:paraId="06A889BF">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资料1</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播放制备莫尔盐的视频，</w:t>
      </w:r>
      <w:r>
        <w:rPr>
          <w:rFonts w:hint="eastAsia" w:asciiTheme="minorEastAsia" w:hAnsiTheme="minorEastAsia" w:eastAsiaTheme="minorEastAsia" w:cstheme="minorEastAsia"/>
          <w:b w:val="0"/>
          <w:bCs w:val="0"/>
        </w:rPr>
        <w:t>主要</w:t>
      </w:r>
      <w:r>
        <w:rPr>
          <w:rFonts w:hint="eastAsia" w:asciiTheme="minorEastAsia" w:hAnsiTheme="minorEastAsia" w:eastAsiaTheme="minorEastAsia" w:cstheme="minorEastAsia"/>
          <w:b w:val="0"/>
          <w:bCs w:val="0"/>
          <w:lang w:val="en-US" w:eastAsia="zh-CN"/>
        </w:rPr>
        <w:t>步骤如下：</w:t>
      </w:r>
    </w:p>
    <w:p w14:paraId="1FADC425">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步骤①：用电子天平称取4g铁粉，倒入锥形瓶中；</w:t>
      </w:r>
    </w:p>
    <w:p w14:paraId="435C63CE">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步骤②：向锥形瓶中加入25%的硫酸溶液，振荡摇匀，水浴加热；</w:t>
      </w:r>
    </w:p>
    <w:p w14:paraId="5BA52832">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步骤③：待瓶中不再产生气泡后，趁热过滤；</w:t>
      </w:r>
    </w:p>
    <w:p w14:paraId="5AE7A6F0">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步骤④：将滤液倒入蒸发皿中，向蒸发皿中加入适量的硫酸铵固体后，水浴加热（温度控制在100℃）；</w:t>
      </w:r>
    </w:p>
    <w:p w14:paraId="64314735">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步骤⑤：当液体表面出现一层晶膜时，停止加热；</w:t>
      </w:r>
    </w:p>
    <w:p w14:paraId="3FB47767">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步骤⑥：待蒸发皿冷却至室温后过滤，用乙醇洗涤所得固体，并烘干；</w:t>
      </w:r>
    </w:p>
    <w:p w14:paraId="7892B450">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步骤⑦：用电子天平称量所得固体，质量为23.13g。</w:t>
      </w:r>
    </w:p>
    <w:p w14:paraId="13C53B5F">
      <w:pPr>
        <w:ind w:firstLine="42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val="0"/>
          <w:bCs w:val="0"/>
          <w:lang w:val="en-US" w:eastAsia="zh-CN"/>
        </w:rPr>
        <w:t>设计意图：由于莫尔盐的制备需要较长时间，因此，采用视频演示的形式，播放课前录制并剪辑的莫尔盐制备微课，让学生初步体验其制备过程，明确所需原料、实验条件、实验操作等核心内容，为后续教学做铺垫。</w:t>
      </w:r>
    </w:p>
    <w:p w14:paraId="3AA47E3C">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5.2 任务1 制备过程中的物质转化</w:t>
      </w:r>
    </w:p>
    <w:p w14:paraId="4CE3E0D8">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活动1</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明确反应原理。</w:t>
      </w:r>
    </w:p>
    <w:p w14:paraId="498A6FE0">
      <w:pPr>
        <w:ind w:firstLine="420" w:firstLineChars="200"/>
        <w:rPr>
          <w:rFonts w:hint="eastAsia" w:asciiTheme="minorEastAsia" w:hAnsiTheme="minorEastAsia" w:eastAsiaTheme="minorEastAsia" w:cstheme="minorEastAsia"/>
          <w:b w:val="0"/>
          <w:bCs w:val="0"/>
          <w:szCs w:val="21"/>
        </w:rPr>
      </w:pPr>
      <w:r>
        <w:rPr>
          <w:rFonts w:hint="eastAsia" w:asciiTheme="minorEastAsia" w:hAnsiTheme="minorEastAsia" w:eastAsiaTheme="minorEastAsia" w:cstheme="minorEastAsia"/>
          <w:b w:val="0"/>
          <w:bCs w:val="0"/>
        </w:rPr>
        <w:t>［问题</w:t>
      </w:r>
      <w:r>
        <w:rPr>
          <w:rFonts w:hint="eastAsia" w:asciiTheme="minorEastAsia" w:hAnsiTheme="minorEastAsia" w:eastAsiaTheme="minorEastAsia" w:cstheme="minorEastAsia"/>
          <w:b w:val="0"/>
          <w:bCs w:val="0"/>
          <w:lang w:val="en-US" w:eastAsia="zh-CN"/>
        </w:rPr>
        <w:t>1</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制备莫尔盐用到的试剂有哪些？请写出“Fe→</w:t>
      </w:r>
      <w:r>
        <w:rPr>
          <w:rFonts w:hint="eastAsia" w:asciiTheme="minorEastAsia" w:hAnsiTheme="minorEastAsia" w:eastAsiaTheme="minorEastAsia" w:cstheme="minorEastAsia"/>
          <w:b w:val="0"/>
          <w:bCs w:val="0"/>
          <w:szCs w:val="21"/>
        </w:rPr>
        <w:t>(NH</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szCs w:val="21"/>
        </w:rPr>
        <w:t>)</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Fe(SO</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szCs w:val="21"/>
        </w:rPr>
        <w:t>)</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·6H</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O</w:t>
      </w:r>
      <w:r>
        <w:rPr>
          <w:rFonts w:hint="eastAsia" w:asciiTheme="minorEastAsia" w:hAnsiTheme="minorEastAsia" w:eastAsiaTheme="minorEastAsia" w:cstheme="minorEastAsia"/>
          <w:b w:val="0"/>
          <w:bCs w:val="0"/>
          <w:lang w:val="en-US" w:eastAsia="zh-CN"/>
        </w:rPr>
        <w:t>”</w:t>
      </w:r>
      <w:r>
        <w:rPr>
          <w:rFonts w:hint="eastAsia" w:asciiTheme="minorEastAsia" w:hAnsiTheme="minorEastAsia" w:eastAsiaTheme="minorEastAsia" w:cstheme="minorEastAsia"/>
          <w:sz w:val="21"/>
          <w:szCs w:val="21"/>
          <w:lang w:val="en-US" w:eastAsia="zh-CN"/>
        </w:rPr>
        <w:t>转化过程中发生的化学反应方程式</w:t>
      </w:r>
      <w:r>
        <w:rPr>
          <w:rFonts w:hint="eastAsia" w:asciiTheme="minorEastAsia" w:hAnsiTheme="minorEastAsia" w:eastAsiaTheme="minorEastAsia" w:cstheme="minorEastAsia"/>
          <w:b w:val="0"/>
          <w:bCs w:val="0"/>
          <w:szCs w:val="21"/>
        </w:rPr>
        <w:t>。</w:t>
      </w:r>
    </w:p>
    <w:p w14:paraId="76E91B88">
      <w:pPr>
        <w:ind w:firstLine="420" w:firstLineChars="200"/>
        <w:rPr>
          <w:rFonts w:hint="eastAsia" w:asciiTheme="minorEastAsia" w:hAnsiTheme="minorEastAsia" w:eastAsiaTheme="minorEastAsia" w:cstheme="minorEastAsia"/>
          <w:b w:val="0"/>
          <w:bCs w:val="0"/>
          <w:vertAlign w:val="subscript"/>
          <w:lang w:val="en-US" w:eastAsia="zh-CN"/>
        </w:rPr>
      </w:pPr>
      <w:r>
        <w:rPr>
          <w:rFonts w:hint="eastAsia" w:asciiTheme="minorEastAsia" w:hAnsiTheme="minorEastAsia" w:eastAsiaTheme="minorEastAsia" w:cstheme="minorEastAsia"/>
          <w:sz w:val="21"/>
        </w:rPr>
        <mc:AlternateContent>
          <mc:Choice Requires="wpg">
            <w:drawing>
              <wp:anchor distT="0" distB="0" distL="114300" distR="114300" simplePos="0" relativeHeight="251666432" behindDoc="0" locked="0" layoutInCell="1" allowOverlap="1">
                <wp:simplePos x="0" y="0"/>
                <wp:positionH relativeFrom="column">
                  <wp:posOffset>4868545</wp:posOffset>
                </wp:positionH>
                <wp:positionV relativeFrom="paragraph">
                  <wp:posOffset>84455</wp:posOffset>
                </wp:positionV>
                <wp:extent cx="257175" cy="15240"/>
                <wp:effectExtent l="0" t="4445" r="9525" b="8890"/>
                <wp:wrapNone/>
                <wp:docPr id="30" name="组合 30"/>
                <wp:cNvGraphicFramePr/>
                <a:graphic xmlns:a="http://schemas.openxmlformats.org/drawingml/2006/main">
                  <a:graphicData uri="http://schemas.microsoft.com/office/word/2010/wordprocessingGroup">
                    <wpg:wgp>
                      <wpg:cNvGrpSpPr/>
                      <wpg:grpSpPr>
                        <a:xfrm>
                          <a:off x="0" y="0"/>
                          <a:ext cx="257175" cy="15240"/>
                          <a:chOff x="8936" y="53258"/>
                          <a:chExt cx="405" cy="24"/>
                        </a:xfrm>
                      </wpg:grpSpPr>
                      <wps:wsp>
                        <wps:cNvPr id="157" name="直接连接符 24"/>
                        <wps:cNvCnPr/>
                        <wps:spPr>
                          <a:xfrm>
                            <a:off x="8937" y="53258"/>
                            <a:ext cx="404"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58" name="直接连接符 27"/>
                        <wps:cNvCnPr/>
                        <wps:spPr>
                          <a:xfrm>
                            <a:off x="8936" y="53282"/>
                            <a:ext cx="404"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83.35pt;margin-top:6.65pt;height:1.2pt;width:20.25pt;z-index:251666432;mso-width-relative:page;mso-height-relative:page;" coordorigin="8936,53258" coordsize="405,24" o:gfxdata="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bQxNNkAAAAJAQAADwAAAAAAAAABACAAAAAi&#10;AAAAZHJzL2Rvd25yZXYueG1sUEsBAhQAFAAAAAgAh07iQKGdKlZ7AgAAvgYAAA4AAAAAAAAAAQAg&#10;AAAAKAEAAGRycy9lMm9Eb2MueG1sUEsFBgAAAAAGAAYAWQEAABUGAAAAAA==&#10;">
                <o:lock v:ext="edit" aspectratio="f"/>
                <v:line id="直接连接符 24" o:spid="_x0000_s1026" o:spt="20" style="position:absolute;left:8937;top:53258;height:0;width:404;" filled="f" stroked="t" coordsize="21600,21600" o:gfxdata="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8V6i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27" o:spid="_x0000_s1026" o:spt="20" style="position:absolute;left:8936;top:53282;height:0;width:404;" filled="f" stroked="t" coordsize="21600,21600" o:gfxdata="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jw9q/&#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w:pict>
          </mc:Fallback>
        </mc:AlternateContent>
      </w:r>
      <w:r>
        <w:rPr>
          <w:rFonts w:hint="eastAsia" w:asciiTheme="minorEastAsia" w:hAnsiTheme="minorEastAsia" w:eastAsiaTheme="minorEastAsia" w:cstheme="minorEastAsia"/>
          <w:b w:val="0"/>
          <w:bCs w:val="0"/>
        </w:rPr>
        <w:t>［学生活动表现］学生对铁粉和硫酸的反应比较熟悉，能很快地写出Fe+H</w:t>
      </w:r>
      <w:r>
        <w:rPr>
          <w:rFonts w:hint="eastAsia" w:asciiTheme="minorEastAsia" w:hAnsiTheme="minorEastAsia" w:eastAsiaTheme="minorEastAsia" w:cstheme="minorEastAsia"/>
          <w:b w:val="0"/>
          <w:bCs w:val="0"/>
          <w:vertAlign w:val="subscript"/>
        </w:rPr>
        <w:t>2</w:t>
      </w:r>
      <w:r>
        <w:rPr>
          <w:rFonts w:hint="eastAsia" w:asciiTheme="minorEastAsia" w:hAnsiTheme="minorEastAsia" w:eastAsiaTheme="minorEastAsia" w:cstheme="minorEastAsia"/>
          <w:b w:val="0"/>
          <w:bCs w:val="0"/>
        </w:rPr>
        <w:t>SO</w:t>
      </w:r>
      <w:r>
        <w:rPr>
          <w:rFonts w:hint="eastAsia" w:asciiTheme="minorEastAsia" w:hAnsiTheme="minorEastAsia" w:eastAsiaTheme="minorEastAsia" w:cstheme="minorEastAsia"/>
          <w:b w:val="0"/>
          <w:bCs w:val="0"/>
          <w:vertAlign w:val="subscript"/>
        </w:rPr>
        <w:t>4</w:t>
      </w:r>
      <w:r>
        <w:rPr>
          <w:rFonts w:hint="eastAsia" w:asciiTheme="minorEastAsia" w:hAnsiTheme="minorEastAsia" w:eastAsiaTheme="minorEastAsia" w:cstheme="minorEastAsia"/>
          <w:b w:val="0"/>
          <w:bCs w:val="0"/>
          <w:vertAlign w:val="subscript"/>
          <w:lang w:val="en-US" w:eastAsia="zh-CN"/>
        </w:rPr>
        <w:t xml:space="preserve">       </w:t>
      </w:r>
    </w:p>
    <w:p w14:paraId="2FAF0124">
      <w:pPr>
        <w:rPr>
          <w:rFonts w:hint="eastAsia" w:asciiTheme="minorEastAsia" w:hAnsiTheme="minorEastAsia" w:eastAsiaTheme="minorEastAsia" w:cstheme="minorEastAsia"/>
          <w:b w:val="0"/>
          <w:bCs w:val="0"/>
          <w:szCs w:val="21"/>
        </w:rPr>
      </w:pPr>
      <w:r>
        <w:rPr>
          <w:rFonts w:hint="eastAsia" w:asciiTheme="minorEastAsia" w:hAnsiTheme="minorEastAsia" w:eastAsiaTheme="minorEastAsia" w:cstheme="minorEastAsia"/>
          <w:sz w:val="21"/>
        </w:rPr>
        <mc:AlternateContent>
          <mc:Choice Requires="wpg">
            <w:drawing>
              <wp:anchor distT="0" distB="0" distL="114300" distR="114300" simplePos="0" relativeHeight="251667456" behindDoc="0" locked="0" layoutInCell="1" allowOverlap="1">
                <wp:simplePos x="0" y="0"/>
                <wp:positionH relativeFrom="column">
                  <wp:posOffset>1431925</wp:posOffset>
                </wp:positionH>
                <wp:positionV relativeFrom="paragraph">
                  <wp:posOffset>291465</wp:posOffset>
                </wp:positionV>
                <wp:extent cx="257175" cy="15240"/>
                <wp:effectExtent l="0" t="4445" r="9525" b="8890"/>
                <wp:wrapNone/>
                <wp:docPr id="159" name="组合 159"/>
                <wp:cNvGraphicFramePr/>
                <a:graphic xmlns:a="http://schemas.openxmlformats.org/drawingml/2006/main">
                  <a:graphicData uri="http://schemas.microsoft.com/office/word/2010/wordprocessingGroup">
                    <wpg:wgp>
                      <wpg:cNvGrpSpPr/>
                      <wpg:grpSpPr>
                        <a:xfrm>
                          <a:off x="0" y="0"/>
                          <a:ext cx="257175" cy="15240"/>
                          <a:chOff x="8936" y="53258"/>
                          <a:chExt cx="405" cy="24"/>
                        </a:xfrm>
                      </wpg:grpSpPr>
                      <wps:wsp>
                        <wps:cNvPr id="73" name="直接连接符 24"/>
                        <wps:cNvCnPr/>
                        <wps:spPr>
                          <a:xfrm>
                            <a:off x="8937" y="53258"/>
                            <a:ext cx="404"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74" name="直接连接符 27"/>
                        <wps:cNvCnPr/>
                        <wps:spPr>
                          <a:xfrm>
                            <a:off x="8936" y="53282"/>
                            <a:ext cx="404" cy="0"/>
                          </a:xfrm>
                          <a:prstGeom prst="line">
                            <a:avLst/>
                          </a:prstGeom>
                          <a:ln w="9525"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12.75pt;margin-top:22.95pt;height:1.2pt;width:20.25pt;z-index:251667456;mso-width-relative:page;mso-height-relative:page;" coordorigin="8936,53258" coordsize="405,24" o:gfxdata="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N26UNoAAAAJAQAADwAAAAAAAAABACAAAAAi&#10;AAAAZHJzL2Rvd25yZXYueG1sUEsBAhQAFAAAAAgAh07iQH4CbCd6AgAAvgYAAA4AAAAAAAAAAQAg&#10;AAAAKQEAAGRycy9lMm9Eb2MueG1sUEsFBgAAAAAGAAYAWQEAABUGAAAAAA==&#10;">
                <o:lock v:ext="edit" aspectratio="f"/>
                <v:line id="直接连接符 24" o:spid="_x0000_s1026" o:spt="20" style="position:absolute;left:8937;top:53258;height:0;width:404;" filled="f" stroked="t" coordsize="21600,21600" o:gfxdata="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qxl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7" o:spid="_x0000_s1026" o:spt="20" style="position:absolute;left:8936;top:53282;height:0;width:404;" filled="f" stroked="t" coordsize="21600,21600" o:gfxdata="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zQR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w:pict>
          </mc:Fallback>
        </mc:AlternateContent>
      </w:r>
      <w:r>
        <w:rPr>
          <w:rFonts w:hint="eastAsia" w:asciiTheme="minorEastAsia" w:hAnsiTheme="minorEastAsia" w:eastAsiaTheme="minorEastAsia" w:cstheme="minorEastAsia"/>
          <w:b w:val="0"/>
          <w:bCs w:val="0"/>
        </w:rPr>
        <w:t>FeSO</w:t>
      </w:r>
      <w:r>
        <w:rPr>
          <w:rFonts w:hint="eastAsia" w:asciiTheme="minorEastAsia" w:hAnsiTheme="minorEastAsia" w:eastAsiaTheme="minorEastAsia" w:cstheme="minorEastAsia"/>
          <w:b w:val="0"/>
          <w:bCs w:val="0"/>
          <w:vertAlign w:val="subscript"/>
        </w:rPr>
        <w:t>4</w:t>
      </w:r>
      <w:r>
        <w:rPr>
          <w:rFonts w:hint="eastAsia" w:asciiTheme="minorEastAsia" w:hAnsiTheme="minorEastAsia" w:eastAsiaTheme="minorEastAsia" w:cstheme="minorEastAsia"/>
          <w:b w:val="0"/>
          <w:bCs w:val="0"/>
        </w:rPr>
        <w:t>+H</w:t>
      </w:r>
      <w:r>
        <w:rPr>
          <w:rFonts w:hint="eastAsia" w:asciiTheme="minorEastAsia" w:hAnsiTheme="minorEastAsia" w:eastAsiaTheme="minorEastAsia" w:cstheme="minorEastAsia"/>
          <w:b w:val="0"/>
          <w:bCs w:val="0"/>
          <w:vertAlign w:val="subscript"/>
        </w:rPr>
        <w:t>2</w:t>
      </w:r>
      <w:r>
        <w:rPr>
          <w:rFonts w:hint="eastAsia" w:asciiTheme="minorEastAsia" w:hAnsiTheme="minorEastAsia" w:eastAsiaTheme="minorEastAsia" w:cstheme="minorEastAsia"/>
          <w:b w:val="0"/>
          <w:bCs w:val="0"/>
        </w:rPr>
        <w:t>↑。通过分析步骤</w:t>
      </w:r>
      <w:r>
        <w:rPr>
          <w:rFonts w:hint="eastAsia" w:asciiTheme="minorEastAsia" w:hAnsiTheme="minorEastAsia" w:eastAsiaTheme="minorEastAsia" w:cstheme="minorEastAsia"/>
          <w:b w:val="0"/>
          <w:bCs w:val="0"/>
          <w:lang w:val="en-US" w:eastAsia="zh-CN"/>
        </w:rPr>
        <w:t>④</w:t>
      </w:r>
      <w:r>
        <w:rPr>
          <w:rFonts w:hint="eastAsia" w:asciiTheme="minorEastAsia" w:hAnsiTheme="minorEastAsia" w:eastAsiaTheme="minorEastAsia" w:cstheme="minorEastAsia"/>
          <w:b w:val="0"/>
          <w:bCs w:val="0"/>
        </w:rPr>
        <w:t>中加入的原料和产物，大部分学生能写出FeSO</w:t>
      </w:r>
      <w:r>
        <w:rPr>
          <w:rFonts w:hint="eastAsia" w:asciiTheme="minorEastAsia" w:hAnsiTheme="minorEastAsia" w:eastAsiaTheme="minorEastAsia" w:cstheme="minorEastAsia"/>
          <w:b w:val="0"/>
          <w:bCs w:val="0"/>
          <w:vertAlign w:val="subscript"/>
        </w:rPr>
        <w:t>4</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szCs w:val="21"/>
        </w:rPr>
        <w:t>(NH</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szCs w:val="21"/>
        </w:rPr>
        <w:t>)</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SO</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szCs w:val="21"/>
        </w:rPr>
        <w:t>6H</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O</w:t>
      </w:r>
      <w:r>
        <w:rPr>
          <w:rFonts w:hint="eastAsia" w:asciiTheme="minorEastAsia" w:hAnsiTheme="minorEastAsia" w:eastAsiaTheme="minorEastAsia" w:cstheme="minorEastAsia"/>
          <w:sz w:val="21"/>
          <w:lang w:val="en-US" w:eastAsia="zh-CN"/>
        </w:rPr>
        <w:t xml:space="preserve">    </w:t>
      </w:r>
      <w:r>
        <w:rPr>
          <w:rFonts w:hint="eastAsia" w:asciiTheme="minorEastAsia" w:hAnsiTheme="minorEastAsia" w:cstheme="minorEastAsia"/>
          <w:sz w:val="21"/>
          <w:lang w:val="en-US" w:eastAsia="zh-CN"/>
        </w:rPr>
        <w:t xml:space="preserve">  </w:t>
      </w:r>
      <w:r>
        <w:rPr>
          <w:rFonts w:hint="eastAsia" w:asciiTheme="minorEastAsia" w:hAnsiTheme="minorEastAsia" w:eastAsiaTheme="minorEastAsia" w:cstheme="minorEastAsia"/>
          <w:b w:val="0"/>
          <w:bCs w:val="0"/>
          <w:szCs w:val="21"/>
        </w:rPr>
        <w:t>(NH</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szCs w:val="21"/>
        </w:rPr>
        <w:t>)</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Fe(SO</w:t>
      </w:r>
      <w:r>
        <w:rPr>
          <w:rFonts w:hint="eastAsia" w:asciiTheme="minorEastAsia" w:hAnsiTheme="minorEastAsia" w:eastAsiaTheme="minorEastAsia" w:cstheme="minorEastAsia"/>
          <w:b w:val="0"/>
          <w:bCs w:val="0"/>
          <w:szCs w:val="21"/>
          <w:vertAlign w:val="subscript"/>
        </w:rPr>
        <w:t>4</w:t>
      </w:r>
      <w:r>
        <w:rPr>
          <w:rFonts w:hint="eastAsia" w:asciiTheme="minorEastAsia" w:hAnsiTheme="minorEastAsia" w:eastAsiaTheme="minorEastAsia" w:cstheme="minorEastAsia"/>
          <w:b w:val="0"/>
          <w:bCs w:val="0"/>
          <w:szCs w:val="21"/>
        </w:rPr>
        <w:t>)</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·6H</w:t>
      </w:r>
      <w:r>
        <w:rPr>
          <w:rFonts w:hint="eastAsia" w:asciiTheme="minorEastAsia" w:hAnsiTheme="minorEastAsia" w:eastAsiaTheme="minorEastAsia" w:cstheme="minorEastAsia"/>
          <w:b w:val="0"/>
          <w:bCs w:val="0"/>
          <w:szCs w:val="21"/>
          <w:vertAlign w:val="subscript"/>
        </w:rPr>
        <w:t>2</w:t>
      </w:r>
      <w:r>
        <w:rPr>
          <w:rFonts w:hint="eastAsia" w:asciiTheme="minorEastAsia" w:hAnsiTheme="minorEastAsia" w:eastAsiaTheme="minorEastAsia" w:cstheme="minorEastAsia"/>
          <w:b w:val="0"/>
          <w:bCs w:val="0"/>
          <w:szCs w:val="21"/>
        </w:rPr>
        <w:t>O。</w:t>
      </w:r>
    </w:p>
    <w:p w14:paraId="44A9D450">
      <w:pPr>
        <w:ind w:firstLine="420" w:firstLineChars="200"/>
        <w:rPr>
          <w:rFonts w:hint="eastAsia" w:ascii="宋体" w:hAnsi="宋体" w:cs="宋体"/>
          <w:b w:val="0"/>
          <w:bCs w:val="0"/>
          <w:szCs w:val="21"/>
        </w:rPr>
      </w:pPr>
      <w:r>
        <w:rPr>
          <w:rFonts w:hint="eastAsia" w:ascii="楷体" w:hAnsi="楷体" w:eastAsia="楷体" w:cs="楷体"/>
          <w:b w:val="0"/>
          <w:bCs w:val="0"/>
          <w:lang w:val="en-US" w:eastAsia="zh-CN"/>
        </w:rPr>
        <w:t>设计意图：明确核心化学反应是认识物质制备的关键环节。要明确核心化学反应，需要寻找出制备过程中使用了哪些试剂？各种试剂起什么作用？在本课时教学中，首先引导学生找出制备莫尔盐需要用到的试剂有铁粉、硫酸溶液、硫酸铵固体、乙醇；其次引导学生认识制备莫尔盐所需的原料是铁粉、硫酸溶液、硫酸铵固体，乙醇的作用是洗涤产品；最后让学生利用所学知识写出“</w:t>
      </w:r>
      <w:r>
        <w:rPr>
          <w:rFonts w:hint="default" w:ascii="Times New Roman" w:hAnsi="Times New Roman" w:eastAsia="楷体" w:cs="Times New Roman"/>
          <w:b w:val="0"/>
          <w:bCs w:val="0"/>
          <w:lang w:val="en-US" w:eastAsia="zh-CN"/>
        </w:rPr>
        <w:t>Fe</w:t>
      </w:r>
      <w:r>
        <w:rPr>
          <w:rFonts w:hint="default" w:ascii="Times New Roman" w:hAnsi="Times New Roman" w:eastAsia="宋体" w:cs="Times New Roman"/>
          <w:b w:val="0"/>
          <w:bCs w:val="0"/>
          <w:lang w:val="en-US" w:eastAsia="zh-CN"/>
        </w:rPr>
        <w:t>→</w:t>
      </w:r>
      <w:r>
        <w:rPr>
          <w:rFonts w:hint="default" w:ascii="Times New Roman" w:hAnsi="Times New Roman" w:cs="Times New Roman"/>
          <w:b w:val="0"/>
          <w:bCs w:val="0"/>
          <w:szCs w:val="21"/>
        </w:rPr>
        <w:t>(NH</w:t>
      </w:r>
      <w:r>
        <w:rPr>
          <w:rFonts w:hint="default" w:ascii="Times New Roman" w:hAnsi="Times New Roman" w:cs="Times New Roman"/>
          <w:b w:val="0"/>
          <w:bCs w:val="0"/>
          <w:szCs w:val="21"/>
          <w:vertAlign w:val="subscript"/>
        </w:rPr>
        <w:t>4</w:t>
      </w:r>
      <w:r>
        <w:rPr>
          <w:rFonts w:hint="default" w:ascii="Times New Roman" w:hAnsi="Times New Roman" w:cs="Times New Roman"/>
          <w:b w:val="0"/>
          <w:bCs w:val="0"/>
          <w:szCs w:val="21"/>
        </w:rPr>
        <w:t>)</w:t>
      </w:r>
      <w:r>
        <w:rPr>
          <w:rFonts w:hint="default" w:ascii="Times New Roman" w:hAnsi="Times New Roman" w:cs="Times New Roman"/>
          <w:b w:val="0"/>
          <w:bCs w:val="0"/>
          <w:szCs w:val="21"/>
          <w:vertAlign w:val="subscript"/>
        </w:rPr>
        <w:t>2</w:t>
      </w:r>
      <w:r>
        <w:rPr>
          <w:rFonts w:hint="default" w:ascii="Times New Roman" w:hAnsi="Times New Roman" w:cs="Times New Roman"/>
          <w:b w:val="0"/>
          <w:bCs w:val="0"/>
          <w:szCs w:val="21"/>
        </w:rPr>
        <w:t>Fe(SO</w:t>
      </w:r>
      <w:r>
        <w:rPr>
          <w:rFonts w:hint="default" w:ascii="Times New Roman" w:hAnsi="Times New Roman" w:cs="Times New Roman"/>
          <w:b w:val="0"/>
          <w:bCs w:val="0"/>
          <w:szCs w:val="21"/>
          <w:vertAlign w:val="subscript"/>
        </w:rPr>
        <w:t>4</w:t>
      </w:r>
      <w:r>
        <w:rPr>
          <w:rFonts w:hint="default" w:ascii="Times New Roman" w:hAnsi="Times New Roman" w:cs="Times New Roman"/>
          <w:b w:val="0"/>
          <w:bCs w:val="0"/>
          <w:szCs w:val="21"/>
        </w:rPr>
        <w:t>)</w:t>
      </w:r>
      <w:r>
        <w:rPr>
          <w:rFonts w:hint="default" w:ascii="Times New Roman" w:hAnsi="Times New Roman" w:cs="Times New Roman"/>
          <w:b w:val="0"/>
          <w:bCs w:val="0"/>
          <w:szCs w:val="21"/>
          <w:vertAlign w:val="subscript"/>
        </w:rPr>
        <w:t>2</w:t>
      </w:r>
      <w:r>
        <w:rPr>
          <w:rFonts w:hint="default" w:ascii="Times New Roman" w:hAnsi="Times New Roman" w:cs="Times New Roman"/>
          <w:b w:val="0"/>
          <w:bCs w:val="0"/>
          <w:szCs w:val="21"/>
        </w:rPr>
        <w:t>·6H</w:t>
      </w:r>
      <w:r>
        <w:rPr>
          <w:rFonts w:hint="default" w:ascii="Times New Roman" w:hAnsi="Times New Roman" w:cs="Times New Roman"/>
          <w:b w:val="0"/>
          <w:bCs w:val="0"/>
          <w:szCs w:val="21"/>
          <w:vertAlign w:val="subscript"/>
        </w:rPr>
        <w:t>2</w:t>
      </w:r>
      <w:r>
        <w:rPr>
          <w:rFonts w:hint="default" w:ascii="Times New Roman" w:hAnsi="Times New Roman" w:cs="Times New Roman"/>
          <w:b w:val="0"/>
          <w:bCs w:val="0"/>
          <w:szCs w:val="21"/>
        </w:rPr>
        <w:t>O</w:t>
      </w:r>
      <w:r>
        <w:rPr>
          <w:rFonts w:hint="eastAsia" w:ascii="楷体" w:hAnsi="楷体" w:eastAsia="楷体" w:cs="楷体"/>
          <w:b w:val="0"/>
          <w:bCs w:val="0"/>
          <w:lang w:val="en-US" w:eastAsia="zh-CN"/>
        </w:rPr>
        <w:t>”</w:t>
      </w:r>
      <w:r>
        <w:rPr>
          <w:rFonts w:hint="eastAsia" w:ascii="楷体" w:hAnsi="楷体" w:eastAsia="楷体" w:cs="楷体"/>
          <w:sz w:val="21"/>
          <w:szCs w:val="21"/>
          <w:lang w:val="en-US" w:eastAsia="zh-CN"/>
        </w:rPr>
        <w:t>转化过程中发生的化学反应方程式，初步形成“</w:t>
      </w:r>
      <w:r>
        <w:rPr>
          <w:rFonts w:hint="eastAsia" w:ascii="楷体" w:hAnsi="楷体" w:eastAsia="楷体" w:cs="楷体"/>
          <w:sz w:val="21"/>
          <w:szCs w:val="21"/>
        </w:rPr>
        <w:t>在一定条件下通过化学反应可以实现物质转化</w:t>
      </w:r>
      <w:r>
        <w:rPr>
          <w:rFonts w:hint="eastAsia" w:ascii="楷体" w:hAnsi="楷体" w:eastAsia="楷体" w:cs="楷体"/>
          <w:sz w:val="21"/>
          <w:szCs w:val="21"/>
          <w:lang w:val="en-US" w:eastAsia="zh-CN"/>
        </w:rPr>
        <w:t>”的变化观念。</w:t>
      </w:r>
    </w:p>
    <w:p w14:paraId="41A965FD">
      <w:pPr>
        <w:ind w:firstLine="420" w:firstLineChars="200"/>
        <w:rPr>
          <w:rFonts w:asciiTheme="minorEastAsia" w:hAnsiTheme="minorEastAsia" w:eastAsiaTheme="minorEastAsia" w:cstheme="minorEastAsia"/>
          <w:b w:val="0"/>
          <w:bCs w:val="0"/>
          <w:szCs w:val="21"/>
        </w:rPr>
      </w:pPr>
      <w:r>
        <w:rPr>
          <w:b w:val="0"/>
          <w:bCs w:val="0"/>
        </w:rPr>
        <w:t>［</w:t>
      </w:r>
      <w:r>
        <w:rPr>
          <w:rFonts w:hint="eastAsia"/>
          <w:b w:val="0"/>
          <w:bCs w:val="0"/>
          <w:lang w:val="en-US" w:eastAsia="zh-CN"/>
        </w:rPr>
        <w:t>资料</w:t>
      </w:r>
      <w:r>
        <w:rPr>
          <w:rFonts w:hint="eastAsia" w:asciiTheme="minorEastAsia" w:hAnsiTheme="minorEastAsia" w:eastAsiaTheme="minorEastAsia" w:cstheme="minorEastAsia"/>
          <w:b w:val="0"/>
          <w:bCs w:val="0"/>
          <w:lang w:val="en-US" w:eastAsia="zh-CN"/>
        </w:rPr>
        <w:t>2</w:t>
      </w:r>
      <w:r>
        <w:rPr>
          <w:b w:val="0"/>
          <w:bCs w:val="0"/>
        </w:rPr>
        <w:t>］</w:t>
      </w:r>
      <w:r>
        <w:rPr>
          <w:rFonts w:hint="eastAsia"/>
          <w:b w:val="0"/>
          <w:bCs w:val="0"/>
        </w:rPr>
        <w:t>表</w:t>
      </w:r>
      <w:r>
        <w:rPr>
          <w:rFonts w:hint="eastAsia" w:asciiTheme="majorEastAsia" w:hAnsiTheme="majorEastAsia" w:eastAsiaTheme="majorEastAsia" w:cstheme="majorEastAsia"/>
          <w:b w:val="0"/>
          <w:bCs w:val="0"/>
          <w:lang w:val="en-US" w:eastAsia="zh-CN"/>
        </w:rPr>
        <w:t>1</w:t>
      </w:r>
      <w:r>
        <w:rPr>
          <w:rFonts w:hint="eastAsia"/>
          <w:b w:val="0"/>
          <w:bCs w:val="0"/>
        </w:rPr>
        <w:t>是</w:t>
      </w:r>
      <w:r>
        <w:rPr>
          <w:rFonts w:hint="eastAsia" w:asciiTheme="minorEastAsia" w:hAnsiTheme="minorEastAsia" w:eastAsiaTheme="minorEastAsia" w:cstheme="minorEastAsia"/>
          <w:b w:val="0"/>
          <w:bCs w:val="0"/>
          <w:szCs w:val="21"/>
        </w:rPr>
        <w:t>硫酸铵、七水合硫酸亚铁和莫尔盐的溶解度表。</w:t>
      </w:r>
    </w:p>
    <w:p w14:paraId="07126D84">
      <w:pPr>
        <w:jc w:val="center"/>
        <w:rPr>
          <w:rFonts w:ascii="黑体" w:hAnsi="黑体" w:eastAsia="黑体" w:cs="黑体"/>
          <w:b w:val="0"/>
          <w:bCs w:val="0"/>
          <w:sz w:val="18"/>
          <w:szCs w:val="18"/>
        </w:rPr>
      </w:pPr>
      <w:r>
        <w:rPr>
          <w:rFonts w:hint="eastAsia" w:ascii="黑体" w:hAnsi="黑体" w:eastAsia="黑体" w:cs="黑体"/>
          <w:b w:val="0"/>
          <w:bCs w:val="0"/>
          <w:sz w:val="18"/>
          <w:szCs w:val="18"/>
        </w:rPr>
        <w:t>表</w:t>
      </w:r>
      <w:r>
        <w:rPr>
          <w:rFonts w:hint="eastAsia" w:ascii="黑体" w:hAnsi="黑体" w:eastAsia="黑体" w:cs="黑体"/>
          <w:b w:val="0"/>
          <w:bCs w:val="0"/>
          <w:sz w:val="18"/>
          <w:szCs w:val="18"/>
          <w:lang w:val="en-US" w:eastAsia="zh-CN"/>
        </w:rPr>
        <w:t>1</w:t>
      </w:r>
      <w:r>
        <w:rPr>
          <w:rFonts w:hint="eastAsia" w:ascii="黑体" w:hAnsi="黑体" w:eastAsia="黑体" w:cs="黑体"/>
          <w:b w:val="0"/>
          <w:bCs w:val="0"/>
          <w:sz w:val="18"/>
          <w:szCs w:val="18"/>
        </w:rPr>
        <w:t xml:space="preserve">  硫酸铵、七水合硫酸亚铁和莫尔盐的溶解度表</w:t>
      </w:r>
      <w:r>
        <w:rPr>
          <w:rFonts w:hint="eastAsia" w:ascii="黑体" w:hAnsi="黑体" w:eastAsia="黑体" w:cs="黑体"/>
          <w:b w:val="0"/>
          <w:bCs w:val="0"/>
          <w:sz w:val="18"/>
          <w:szCs w:val="18"/>
          <w:vertAlign w:val="superscript"/>
        </w:rPr>
        <w:t>[</w:t>
      </w:r>
      <w:r>
        <w:rPr>
          <w:rFonts w:hint="eastAsia" w:ascii="黑体" w:hAnsi="黑体" w:eastAsia="黑体" w:cs="黑体"/>
          <w:b w:val="0"/>
          <w:bCs w:val="0"/>
          <w:sz w:val="18"/>
          <w:szCs w:val="18"/>
          <w:vertAlign w:val="superscript"/>
          <w:lang w:val="en-US" w:eastAsia="zh-CN"/>
        </w:rPr>
        <w:t>8</w:t>
      </w:r>
      <w:r>
        <w:rPr>
          <w:rFonts w:hint="eastAsia" w:ascii="黑体" w:hAnsi="黑体" w:eastAsia="黑体" w:cs="黑体"/>
          <w:b w:val="0"/>
          <w:bCs w:val="0"/>
          <w:sz w:val="18"/>
          <w:szCs w:val="18"/>
          <w:vertAlign w:val="superscript"/>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860"/>
        <w:gridCol w:w="829"/>
        <w:gridCol w:w="833"/>
        <w:gridCol w:w="829"/>
        <w:gridCol w:w="770"/>
        <w:gridCol w:w="769"/>
      </w:tblGrid>
      <w:tr w14:paraId="79A8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vMerge w:val="restart"/>
            <w:vAlign w:val="center"/>
          </w:tcPr>
          <w:p w14:paraId="49EB0FD7">
            <w:pPr>
              <w:jc w:val="center"/>
              <w:rPr>
                <w:rFonts w:ascii="宋体" w:hAnsi="宋体" w:cs="宋体"/>
                <w:b w:val="0"/>
                <w:bCs w:val="0"/>
                <w:sz w:val="18"/>
                <w:szCs w:val="18"/>
              </w:rPr>
            </w:pPr>
            <w:r>
              <w:rPr>
                <w:rFonts w:hint="eastAsia" w:ascii="宋体" w:hAnsi="宋体" w:cs="宋体"/>
                <w:b w:val="0"/>
                <w:bCs w:val="0"/>
                <w:sz w:val="18"/>
                <w:szCs w:val="18"/>
              </w:rPr>
              <w:t>物质</w:t>
            </w:r>
          </w:p>
        </w:tc>
        <w:tc>
          <w:tcPr>
            <w:tcW w:w="4890" w:type="dxa"/>
            <w:gridSpan w:val="6"/>
          </w:tcPr>
          <w:p w14:paraId="6096E3B8">
            <w:pPr>
              <w:jc w:val="center"/>
              <w:rPr>
                <w:rFonts w:ascii="宋体" w:hAnsi="宋体" w:cs="宋体"/>
                <w:b w:val="0"/>
                <w:bCs w:val="0"/>
                <w:sz w:val="18"/>
                <w:szCs w:val="18"/>
              </w:rPr>
            </w:pPr>
            <w:r>
              <w:rPr>
                <w:rFonts w:hint="eastAsia" w:ascii="宋体" w:hAnsi="宋体" w:cs="宋体"/>
                <w:b w:val="0"/>
                <w:bCs w:val="0"/>
                <w:sz w:val="18"/>
                <w:szCs w:val="18"/>
              </w:rPr>
              <w:t>不同温度下的溶解度/g</w:t>
            </w:r>
          </w:p>
        </w:tc>
      </w:tr>
      <w:tr w14:paraId="75B8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vMerge w:val="continue"/>
          </w:tcPr>
          <w:p w14:paraId="6D644354">
            <w:pPr>
              <w:jc w:val="center"/>
              <w:rPr>
                <w:rFonts w:ascii="宋体" w:hAnsi="宋体" w:cs="宋体"/>
                <w:b w:val="0"/>
                <w:bCs w:val="0"/>
                <w:sz w:val="18"/>
                <w:szCs w:val="18"/>
              </w:rPr>
            </w:pPr>
          </w:p>
        </w:tc>
        <w:tc>
          <w:tcPr>
            <w:tcW w:w="860" w:type="dxa"/>
          </w:tcPr>
          <w:p w14:paraId="631F1E83">
            <w:pPr>
              <w:jc w:val="center"/>
              <w:rPr>
                <w:rFonts w:ascii="宋体" w:hAnsi="宋体" w:cs="宋体"/>
                <w:b w:val="0"/>
                <w:bCs w:val="0"/>
                <w:sz w:val="18"/>
                <w:szCs w:val="18"/>
              </w:rPr>
            </w:pPr>
            <w:r>
              <w:rPr>
                <w:rFonts w:hint="eastAsia" w:ascii="宋体" w:hAnsi="宋体" w:cs="宋体"/>
                <w:b w:val="0"/>
                <w:bCs w:val="0"/>
                <w:sz w:val="18"/>
                <w:szCs w:val="18"/>
              </w:rPr>
              <w:t>10℃</w:t>
            </w:r>
          </w:p>
        </w:tc>
        <w:tc>
          <w:tcPr>
            <w:tcW w:w="829" w:type="dxa"/>
          </w:tcPr>
          <w:p w14:paraId="484074E4">
            <w:pPr>
              <w:jc w:val="center"/>
              <w:rPr>
                <w:rFonts w:ascii="宋体" w:hAnsi="宋体" w:cs="宋体"/>
                <w:b w:val="0"/>
                <w:bCs w:val="0"/>
                <w:sz w:val="18"/>
                <w:szCs w:val="18"/>
              </w:rPr>
            </w:pPr>
            <w:r>
              <w:rPr>
                <w:rFonts w:hint="eastAsia" w:ascii="宋体" w:hAnsi="宋体" w:cs="宋体"/>
                <w:b w:val="0"/>
                <w:bCs w:val="0"/>
                <w:sz w:val="18"/>
                <w:szCs w:val="18"/>
              </w:rPr>
              <w:t>20℃</w:t>
            </w:r>
          </w:p>
        </w:tc>
        <w:tc>
          <w:tcPr>
            <w:tcW w:w="833" w:type="dxa"/>
          </w:tcPr>
          <w:p w14:paraId="2EF9396F">
            <w:pPr>
              <w:jc w:val="center"/>
              <w:rPr>
                <w:rFonts w:ascii="宋体" w:hAnsi="宋体" w:cs="宋体"/>
                <w:b w:val="0"/>
                <w:bCs w:val="0"/>
                <w:sz w:val="18"/>
                <w:szCs w:val="18"/>
              </w:rPr>
            </w:pPr>
            <w:r>
              <w:rPr>
                <w:rFonts w:hint="eastAsia" w:ascii="宋体" w:hAnsi="宋体" w:cs="宋体"/>
                <w:b w:val="0"/>
                <w:bCs w:val="0"/>
                <w:sz w:val="18"/>
                <w:szCs w:val="18"/>
              </w:rPr>
              <w:t>30℃</w:t>
            </w:r>
          </w:p>
        </w:tc>
        <w:tc>
          <w:tcPr>
            <w:tcW w:w="829" w:type="dxa"/>
          </w:tcPr>
          <w:p w14:paraId="4F1F82FA">
            <w:pPr>
              <w:jc w:val="center"/>
              <w:rPr>
                <w:rFonts w:ascii="宋体" w:hAnsi="宋体" w:cs="宋体"/>
                <w:b w:val="0"/>
                <w:bCs w:val="0"/>
                <w:sz w:val="18"/>
                <w:szCs w:val="18"/>
              </w:rPr>
            </w:pPr>
            <w:r>
              <w:rPr>
                <w:rFonts w:hint="eastAsia" w:ascii="宋体" w:hAnsi="宋体" w:cs="宋体"/>
                <w:b w:val="0"/>
                <w:bCs w:val="0"/>
                <w:sz w:val="18"/>
                <w:szCs w:val="18"/>
              </w:rPr>
              <w:t>40℃</w:t>
            </w:r>
          </w:p>
        </w:tc>
        <w:tc>
          <w:tcPr>
            <w:tcW w:w="770" w:type="dxa"/>
          </w:tcPr>
          <w:p w14:paraId="59D1F100">
            <w:pPr>
              <w:jc w:val="center"/>
              <w:rPr>
                <w:rFonts w:ascii="宋体" w:hAnsi="宋体" w:cs="宋体"/>
                <w:b w:val="0"/>
                <w:bCs w:val="0"/>
                <w:sz w:val="18"/>
                <w:szCs w:val="18"/>
              </w:rPr>
            </w:pPr>
            <w:r>
              <w:rPr>
                <w:rFonts w:hint="eastAsia" w:ascii="宋体" w:hAnsi="宋体" w:cs="宋体"/>
                <w:b w:val="0"/>
                <w:bCs w:val="0"/>
                <w:sz w:val="18"/>
                <w:szCs w:val="18"/>
              </w:rPr>
              <w:t>50℃</w:t>
            </w:r>
          </w:p>
        </w:tc>
        <w:tc>
          <w:tcPr>
            <w:tcW w:w="769" w:type="dxa"/>
          </w:tcPr>
          <w:p w14:paraId="0BD336C4">
            <w:pPr>
              <w:jc w:val="center"/>
              <w:rPr>
                <w:rFonts w:ascii="宋体" w:hAnsi="宋体" w:cs="宋体"/>
                <w:b w:val="0"/>
                <w:bCs w:val="0"/>
                <w:sz w:val="18"/>
                <w:szCs w:val="18"/>
              </w:rPr>
            </w:pPr>
            <w:r>
              <w:rPr>
                <w:rFonts w:hint="eastAsia" w:ascii="宋体" w:hAnsi="宋体" w:cs="宋体"/>
                <w:b w:val="0"/>
                <w:bCs w:val="0"/>
                <w:sz w:val="18"/>
                <w:szCs w:val="18"/>
              </w:rPr>
              <w:t>60℃</w:t>
            </w:r>
          </w:p>
        </w:tc>
      </w:tr>
      <w:tr w14:paraId="219D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tcPr>
          <w:p w14:paraId="74FAC172">
            <w:pPr>
              <w:jc w:val="center"/>
              <w:rPr>
                <w:rFonts w:ascii="宋体" w:hAnsi="宋体" w:cs="宋体"/>
                <w:b w:val="0"/>
                <w:bCs w:val="0"/>
                <w:sz w:val="18"/>
                <w:szCs w:val="18"/>
              </w:rPr>
            </w:pPr>
            <w:r>
              <w:rPr>
                <w:rFonts w:hint="eastAsia" w:ascii="宋体" w:hAnsi="宋体" w:cs="宋体"/>
                <w:b w:val="0"/>
                <w:bCs w:val="0"/>
                <w:sz w:val="18"/>
                <w:szCs w:val="18"/>
              </w:rPr>
              <w:t>(NH</w:t>
            </w:r>
            <w:r>
              <w:rPr>
                <w:rFonts w:hint="eastAsia" w:ascii="宋体" w:hAnsi="宋体" w:cs="宋体"/>
                <w:b w:val="0"/>
                <w:bCs w:val="0"/>
                <w:sz w:val="18"/>
                <w:szCs w:val="18"/>
                <w:vertAlign w:val="subscript"/>
              </w:rPr>
              <w:t>4</w:t>
            </w:r>
            <w:r>
              <w:rPr>
                <w:rFonts w:hint="eastAsia" w:ascii="宋体" w:hAnsi="宋体" w:cs="宋体"/>
                <w:b w:val="0"/>
                <w:bCs w:val="0"/>
                <w:sz w:val="18"/>
                <w:szCs w:val="18"/>
              </w:rPr>
              <w:t>)</w:t>
            </w:r>
            <w:r>
              <w:rPr>
                <w:rFonts w:hint="eastAsia" w:ascii="宋体" w:hAnsi="宋体" w:cs="宋体"/>
                <w:b w:val="0"/>
                <w:bCs w:val="0"/>
                <w:sz w:val="18"/>
                <w:szCs w:val="18"/>
                <w:vertAlign w:val="subscript"/>
              </w:rPr>
              <w:t>2</w:t>
            </w:r>
            <w:r>
              <w:rPr>
                <w:rFonts w:hint="eastAsia" w:ascii="宋体" w:hAnsi="宋体" w:cs="宋体"/>
                <w:b w:val="0"/>
                <w:bCs w:val="0"/>
                <w:sz w:val="18"/>
                <w:szCs w:val="18"/>
              </w:rPr>
              <w:t>SO</w:t>
            </w:r>
            <w:r>
              <w:rPr>
                <w:rFonts w:hint="eastAsia" w:ascii="宋体" w:hAnsi="宋体" w:cs="宋体"/>
                <w:b w:val="0"/>
                <w:bCs w:val="0"/>
                <w:sz w:val="18"/>
                <w:szCs w:val="18"/>
                <w:vertAlign w:val="subscript"/>
              </w:rPr>
              <w:t>4</w:t>
            </w:r>
          </w:p>
        </w:tc>
        <w:tc>
          <w:tcPr>
            <w:tcW w:w="860" w:type="dxa"/>
          </w:tcPr>
          <w:p w14:paraId="12825AC1">
            <w:pPr>
              <w:jc w:val="center"/>
              <w:rPr>
                <w:rFonts w:ascii="宋体" w:hAnsi="宋体" w:cs="宋体"/>
                <w:b w:val="0"/>
                <w:bCs w:val="0"/>
                <w:sz w:val="18"/>
                <w:szCs w:val="18"/>
              </w:rPr>
            </w:pPr>
            <w:r>
              <w:rPr>
                <w:rFonts w:hint="eastAsia" w:ascii="宋体" w:hAnsi="宋体" w:cs="宋体"/>
                <w:b w:val="0"/>
                <w:bCs w:val="0"/>
                <w:sz w:val="18"/>
                <w:szCs w:val="18"/>
              </w:rPr>
              <w:t>73.0</w:t>
            </w:r>
          </w:p>
        </w:tc>
        <w:tc>
          <w:tcPr>
            <w:tcW w:w="829" w:type="dxa"/>
          </w:tcPr>
          <w:p w14:paraId="744BF32A">
            <w:pPr>
              <w:jc w:val="center"/>
              <w:rPr>
                <w:rFonts w:ascii="宋体" w:hAnsi="宋体" w:cs="宋体"/>
                <w:b w:val="0"/>
                <w:bCs w:val="0"/>
                <w:sz w:val="18"/>
                <w:szCs w:val="18"/>
              </w:rPr>
            </w:pPr>
            <w:r>
              <w:rPr>
                <w:rFonts w:hint="eastAsia" w:ascii="宋体" w:hAnsi="宋体" w:cs="宋体"/>
                <w:b w:val="0"/>
                <w:bCs w:val="0"/>
                <w:sz w:val="18"/>
                <w:szCs w:val="18"/>
              </w:rPr>
              <w:t>75.4</w:t>
            </w:r>
          </w:p>
        </w:tc>
        <w:tc>
          <w:tcPr>
            <w:tcW w:w="833" w:type="dxa"/>
          </w:tcPr>
          <w:p w14:paraId="15C5D61C">
            <w:pPr>
              <w:jc w:val="center"/>
              <w:rPr>
                <w:rFonts w:ascii="宋体" w:hAnsi="宋体" w:cs="宋体"/>
                <w:b w:val="0"/>
                <w:bCs w:val="0"/>
                <w:sz w:val="18"/>
                <w:szCs w:val="18"/>
              </w:rPr>
            </w:pPr>
            <w:r>
              <w:rPr>
                <w:rFonts w:hint="eastAsia" w:ascii="宋体" w:hAnsi="宋体" w:cs="宋体"/>
                <w:b w:val="0"/>
                <w:bCs w:val="0"/>
                <w:sz w:val="18"/>
                <w:szCs w:val="18"/>
              </w:rPr>
              <w:t>78.0</w:t>
            </w:r>
          </w:p>
        </w:tc>
        <w:tc>
          <w:tcPr>
            <w:tcW w:w="829" w:type="dxa"/>
          </w:tcPr>
          <w:p w14:paraId="36C8EA65">
            <w:pPr>
              <w:jc w:val="center"/>
              <w:rPr>
                <w:rFonts w:ascii="宋体" w:hAnsi="宋体" w:cs="宋体"/>
                <w:b w:val="0"/>
                <w:bCs w:val="0"/>
                <w:sz w:val="18"/>
                <w:szCs w:val="18"/>
              </w:rPr>
            </w:pPr>
            <w:r>
              <w:rPr>
                <w:rFonts w:hint="eastAsia" w:ascii="宋体" w:hAnsi="宋体" w:cs="宋体"/>
                <w:b w:val="0"/>
                <w:bCs w:val="0"/>
                <w:sz w:val="18"/>
                <w:szCs w:val="18"/>
              </w:rPr>
              <w:t>81.0</w:t>
            </w:r>
          </w:p>
        </w:tc>
        <w:tc>
          <w:tcPr>
            <w:tcW w:w="770" w:type="dxa"/>
          </w:tcPr>
          <w:p w14:paraId="4F7D4FB7">
            <w:pPr>
              <w:jc w:val="center"/>
              <w:rPr>
                <w:rFonts w:ascii="宋体" w:hAnsi="宋体" w:cs="宋体"/>
                <w:b w:val="0"/>
                <w:bCs w:val="0"/>
                <w:sz w:val="18"/>
                <w:szCs w:val="18"/>
              </w:rPr>
            </w:pPr>
            <w:r>
              <w:rPr>
                <w:rFonts w:hint="eastAsia" w:ascii="宋体" w:hAnsi="宋体" w:cs="宋体"/>
                <w:b w:val="0"/>
                <w:bCs w:val="0"/>
                <w:sz w:val="18"/>
                <w:szCs w:val="18"/>
              </w:rPr>
              <w:t>84.5</w:t>
            </w:r>
          </w:p>
        </w:tc>
        <w:tc>
          <w:tcPr>
            <w:tcW w:w="769" w:type="dxa"/>
          </w:tcPr>
          <w:p w14:paraId="4CE67EB2">
            <w:pPr>
              <w:jc w:val="center"/>
              <w:rPr>
                <w:rFonts w:ascii="宋体" w:hAnsi="宋体" w:cs="宋体"/>
                <w:b w:val="0"/>
                <w:bCs w:val="0"/>
                <w:sz w:val="18"/>
                <w:szCs w:val="18"/>
              </w:rPr>
            </w:pPr>
            <w:r>
              <w:rPr>
                <w:rFonts w:hint="eastAsia" w:ascii="宋体" w:hAnsi="宋体" w:cs="宋体"/>
                <w:b w:val="0"/>
                <w:bCs w:val="0"/>
                <w:sz w:val="18"/>
                <w:szCs w:val="18"/>
              </w:rPr>
              <w:t>91.9</w:t>
            </w:r>
          </w:p>
        </w:tc>
      </w:tr>
      <w:tr w14:paraId="1839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tcPr>
          <w:p w14:paraId="69FE7069">
            <w:pPr>
              <w:jc w:val="center"/>
              <w:rPr>
                <w:rFonts w:ascii="宋体" w:hAnsi="宋体" w:cs="宋体"/>
                <w:b w:val="0"/>
                <w:bCs w:val="0"/>
                <w:sz w:val="18"/>
                <w:szCs w:val="18"/>
              </w:rPr>
            </w:pPr>
            <w:r>
              <w:rPr>
                <w:rFonts w:hint="eastAsia" w:ascii="宋体" w:hAnsi="宋体" w:cs="宋体"/>
                <w:b w:val="0"/>
                <w:bCs w:val="0"/>
                <w:sz w:val="18"/>
                <w:szCs w:val="18"/>
              </w:rPr>
              <w:t>FeSO</w:t>
            </w:r>
            <w:r>
              <w:rPr>
                <w:rFonts w:hint="eastAsia" w:ascii="宋体" w:hAnsi="宋体" w:cs="宋体"/>
                <w:b w:val="0"/>
                <w:bCs w:val="0"/>
                <w:sz w:val="18"/>
                <w:szCs w:val="18"/>
                <w:vertAlign w:val="subscript"/>
              </w:rPr>
              <w:t>4</w:t>
            </w:r>
            <w:r>
              <w:rPr>
                <w:rFonts w:hint="eastAsia" w:ascii="宋体" w:hAnsi="宋体" w:cs="宋体"/>
                <w:b w:val="0"/>
                <w:bCs w:val="0"/>
                <w:sz w:val="18"/>
                <w:szCs w:val="18"/>
              </w:rPr>
              <w:t>·7H</w:t>
            </w:r>
            <w:r>
              <w:rPr>
                <w:rFonts w:hint="eastAsia" w:ascii="宋体" w:hAnsi="宋体" w:cs="宋体"/>
                <w:b w:val="0"/>
                <w:bCs w:val="0"/>
                <w:sz w:val="18"/>
                <w:szCs w:val="18"/>
                <w:vertAlign w:val="subscript"/>
              </w:rPr>
              <w:t>2</w:t>
            </w:r>
            <w:r>
              <w:rPr>
                <w:rFonts w:hint="eastAsia" w:ascii="宋体" w:hAnsi="宋体" w:cs="宋体"/>
                <w:b w:val="0"/>
                <w:bCs w:val="0"/>
                <w:sz w:val="18"/>
                <w:szCs w:val="18"/>
              </w:rPr>
              <w:t>O</w:t>
            </w:r>
          </w:p>
        </w:tc>
        <w:tc>
          <w:tcPr>
            <w:tcW w:w="860" w:type="dxa"/>
          </w:tcPr>
          <w:p w14:paraId="48674855">
            <w:pPr>
              <w:jc w:val="center"/>
              <w:rPr>
                <w:rFonts w:ascii="宋体" w:hAnsi="宋体" w:cs="宋体"/>
                <w:b w:val="0"/>
                <w:bCs w:val="0"/>
                <w:sz w:val="18"/>
                <w:szCs w:val="18"/>
              </w:rPr>
            </w:pPr>
            <w:r>
              <w:rPr>
                <w:rFonts w:hint="eastAsia" w:ascii="宋体" w:hAnsi="宋体" w:cs="宋体"/>
                <w:b w:val="0"/>
                <w:bCs w:val="0"/>
                <w:sz w:val="18"/>
                <w:szCs w:val="18"/>
              </w:rPr>
              <w:t>40.0</w:t>
            </w:r>
          </w:p>
        </w:tc>
        <w:tc>
          <w:tcPr>
            <w:tcW w:w="829" w:type="dxa"/>
          </w:tcPr>
          <w:p w14:paraId="4E92CFB4">
            <w:pPr>
              <w:jc w:val="center"/>
              <w:rPr>
                <w:rFonts w:ascii="宋体" w:hAnsi="宋体" w:cs="宋体"/>
                <w:b w:val="0"/>
                <w:bCs w:val="0"/>
                <w:sz w:val="18"/>
                <w:szCs w:val="18"/>
              </w:rPr>
            </w:pPr>
            <w:r>
              <w:rPr>
                <w:rFonts w:hint="eastAsia" w:ascii="宋体" w:hAnsi="宋体" w:cs="宋体"/>
                <w:b w:val="0"/>
                <w:bCs w:val="0"/>
                <w:sz w:val="18"/>
                <w:szCs w:val="18"/>
              </w:rPr>
              <w:t>48.0</w:t>
            </w:r>
          </w:p>
        </w:tc>
        <w:tc>
          <w:tcPr>
            <w:tcW w:w="833" w:type="dxa"/>
          </w:tcPr>
          <w:p w14:paraId="4C9C308E">
            <w:pPr>
              <w:jc w:val="center"/>
              <w:rPr>
                <w:rFonts w:ascii="宋体" w:hAnsi="宋体" w:cs="宋体"/>
                <w:b w:val="0"/>
                <w:bCs w:val="0"/>
                <w:sz w:val="18"/>
                <w:szCs w:val="18"/>
              </w:rPr>
            </w:pPr>
            <w:r>
              <w:rPr>
                <w:rFonts w:hint="eastAsia" w:ascii="宋体" w:hAnsi="宋体" w:cs="宋体"/>
                <w:b w:val="0"/>
                <w:bCs w:val="0"/>
                <w:sz w:val="18"/>
                <w:szCs w:val="18"/>
              </w:rPr>
              <w:t>60.0</w:t>
            </w:r>
          </w:p>
        </w:tc>
        <w:tc>
          <w:tcPr>
            <w:tcW w:w="829" w:type="dxa"/>
          </w:tcPr>
          <w:p w14:paraId="4246FB1D">
            <w:pPr>
              <w:jc w:val="center"/>
              <w:rPr>
                <w:rFonts w:ascii="宋体" w:hAnsi="宋体" w:cs="宋体"/>
                <w:b w:val="0"/>
                <w:bCs w:val="0"/>
                <w:sz w:val="18"/>
                <w:szCs w:val="18"/>
              </w:rPr>
            </w:pPr>
            <w:r>
              <w:rPr>
                <w:rFonts w:hint="eastAsia" w:ascii="宋体" w:hAnsi="宋体" w:cs="宋体"/>
                <w:b w:val="0"/>
                <w:bCs w:val="0"/>
                <w:sz w:val="18"/>
                <w:szCs w:val="18"/>
              </w:rPr>
              <w:t>73.3</w:t>
            </w:r>
          </w:p>
        </w:tc>
        <w:tc>
          <w:tcPr>
            <w:tcW w:w="770" w:type="dxa"/>
          </w:tcPr>
          <w:p w14:paraId="18959F01">
            <w:pPr>
              <w:jc w:val="center"/>
              <w:rPr>
                <w:rFonts w:ascii="宋体" w:hAnsi="宋体" w:cs="宋体"/>
                <w:b w:val="0"/>
                <w:bCs w:val="0"/>
                <w:sz w:val="18"/>
                <w:szCs w:val="18"/>
              </w:rPr>
            </w:pPr>
            <w:r>
              <w:rPr>
                <w:rFonts w:hint="eastAsia" w:ascii="宋体" w:hAnsi="宋体" w:cs="宋体"/>
                <w:b w:val="0"/>
                <w:bCs w:val="0"/>
                <w:sz w:val="18"/>
                <w:szCs w:val="18"/>
              </w:rPr>
              <w:t>-</w:t>
            </w:r>
          </w:p>
        </w:tc>
        <w:tc>
          <w:tcPr>
            <w:tcW w:w="769" w:type="dxa"/>
          </w:tcPr>
          <w:p w14:paraId="297B516A">
            <w:pPr>
              <w:jc w:val="center"/>
              <w:rPr>
                <w:rFonts w:ascii="宋体" w:hAnsi="宋体" w:cs="宋体"/>
                <w:b w:val="0"/>
                <w:bCs w:val="0"/>
                <w:sz w:val="18"/>
                <w:szCs w:val="18"/>
              </w:rPr>
            </w:pPr>
            <w:r>
              <w:rPr>
                <w:rFonts w:hint="eastAsia" w:ascii="宋体" w:hAnsi="宋体" w:cs="宋体"/>
                <w:b w:val="0"/>
                <w:bCs w:val="0"/>
                <w:sz w:val="18"/>
                <w:szCs w:val="18"/>
              </w:rPr>
              <w:t>-</w:t>
            </w:r>
          </w:p>
        </w:tc>
      </w:tr>
      <w:tr w14:paraId="5AED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tcPr>
          <w:p w14:paraId="4DBCE4E3">
            <w:pPr>
              <w:jc w:val="center"/>
              <w:rPr>
                <w:rFonts w:ascii="宋体" w:hAnsi="宋体" w:cs="宋体"/>
                <w:b w:val="0"/>
                <w:bCs w:val="0"/>
                <w:sz w:val="18"/>
                <w:szCs w:val="18"/>
              </w:rPr>
            </w:pPr>
            <w:r>
              <w:rPr>
                <w:rFonts w:hint="eastAsia" w:ascii="宋体" w:hAnsi="宋体" w:cs="宋体"/>
                <w:b w:val="0"/>
                <w:bCs w:val="0"/>
                <w:sz w:val="18"/>
                <w:szCs w:val="18"/>
              </w:rPr>
              <w:t>(NH</w:t>
            </w:r>
            <w:r>
              <w:rPr>
                <w:rFonts w:hint="eastAsia" w:ascii="宋体" w:hAnsi="宋体" w:cs="宋体"/>
                <w:b w:val="0"/>
                <w:bCs w:val="0"/>
                <w:sz w:val="18"/>
                <w:szCs w:val="18"/>
                <w:vertAlign w:val="subscript"/>
              </w:rPr>
              <w:t>4</w:t>
            </w:r>
            <w:r>
              <w:rPr>
                <w:rFonts w:hint="eastAsia" w:ascii="宋体" w:hAnsi="宋体" w:cs="宋体"/>
                <w:b w:val="0"/>
                <w:bCs w:val="0"/>
                <w:sz w:val="18"/>
                <w:szCs w:val="18"/>
              </w:rPr>
              <w:t>)</w:t>
            </w:r>
            <w:r>
              <w:rPr>
                <w:rFonts w:hint="eastAsia" w:ascii="宋体" w:hAnsi="宋体" w:cs="宋体"/>
                <w:b w:val="0"/>
                <w:bCs w:val="0"/>
                <w:sz w:val="18"/>
                <w:szCs w:val="18"/>
                <w:vertAlign w:val="subscript"/>
              </w:rPr>
              <w:t>2</w:t>
            </w:r>
            <w:r>
              <w:rPr>
                <w:rFonts w:hint="eastAsia" w:ascii="宋体" w:hAnsi="宋体" w:cs="宋体"/>
                <w:b w:val="0"/>
                <w:bCs w:val="0"/>
                <w:sz w:val="18"/>
                <w:szCs w:val="18"/>
              </w:rPr>
              <w:t>Fe(SO</w:t>
            </w:r>
            <w:r>
              <w:rPr>
                <w:rFonts w:hint="eastAsia" w:ascii="宋体" w:hAnsi="宋体" w:cs="宋体"/>
                <w:b w:val="0"/>
                <w:bCs w:val="0"/>
                <w:sz w:val="18"/>
                <w:szCs w:val="18"/>
                <w:vertAlign w:val="subscript"/>
              </w:rPr>
              <w:t>4</w:t>
            </w:r>
            <w:r>
              <w:rPr>
                <w:rFonts w:hint="eastAsia" w:ascii="宋体" w:hAnsi="宋体" w:cs="宋体"/>
                <w:b w:val="0"/>
                <w:bCs w:val="0"/>
                <w:sz w:val="18"/>
                <w:szCs w:val="18"/>
              </w:rPr>
              <w:t>)</w:t>
            </w:r>
            <w:r>
              <w:rPr>
                <w:rFonts w:hint="eastAsia" w:ascii="宋体" w:hAnsi="宋体" w:cs="宋体"/>
                <w:b w:val="0"/>
                <w:bCs w:val="0"/>
                <w:sz w:val="18"/>
                <w:szCs w:val="18"/>
                <w:vertAlign w:val="subscript"/>
              </w:rPr>
              <w:t>2</w:t>
            </w:r>
            <w:r>
              <w:rPr>
                <w:rFonts w:hint="eastAsia" w:ascii="宋体" w:hAnsi="宋体" w:cs="宋体"/>
                <w:b w:val="0"/>
                <w:bCs w:val="0"/>
                <w:sz w:val="18"/>
                <w:szCs w:val="18"/>
              </w:rPr>
              <w:t>·6H</w:t>
            </w:r>
            <w:r>
              <w:rPr>
                <w:rFonts w:hint="eastAsia" w:ascii="宋体" w:hAnsi="宋体" w:cs="宋体"/>
                <w:b w:val="0"/>
                <w:bCs w:val="0"/>
                <w:sz w:val="18"/>
                <w:szCs w:val="18"/>
                <w:vertAlign w:val="subscript"/>
              </w:rPr>
              <w:t>2</w:t>
            </w:r>
            <w:r>
              <w:rPr>
                <w:rFonts w:hint="eastAsia" w:ascii="宋体" w:hAnsi="宋体" w:cs="宋体"/>
                <w:b w:val="0"/>
                <w:bCs w:val="0"/>
                <w:sz w:val="18"/>
                <w:szCs w:val="18"/>
              </w:rPr>
              <w:t>O</w:t>
            </w:r>
          </w:p>
        </w:tc>
        <w:tc>
          <w:tcPr>
            <w:tcW w:w="860" w:type="dxa"/>
          </w:tcPr>
          <w:p w14:paraId="326B23C6">
            <w:pPr>
              <w:jc w:val="center"/>
              <w:rPr>
                <w:rFonts w:ascii="宋体" w:hAnsi="宋体" w:cs="宋体"/>
                <w:b w:val="0"/>
                <w:bCs w:val="0"/>
                <w:sz w:val="18"/>
                <w:szCs w:val="18"/>
              </w:rPr>
            </w:pPr>
            <w:r>
              <w:rPr>
                <w:rFonts w:hint="eastAsia" w:ascii="宋体" w:hAnsi="宋体" w:cs="宋体"/>
                <w:b w:val="0"/>
                <w:bCs w:val="0"/>
                <w:sz w:val="18"/>
                <w:szCs w:val="18"/>
              </w:rPr>
              <w:t>18.1</w:t>
            </w:r>
          </w:p>
        </w:tc>
        <w:tc>
          <w:tcPr>
            <w:tcW w:w="829" w:type="dxa"/>
          </w:tcPr>
          <w:p w14:paraId="6230404D">
            <w:pPr>
              <w:jc w:val="center"/>
              <w:rPr>
                <w:rFonts w:ascii="宋体" w:hAnsi="宋体" w:cs="宋体"/>
                <w:b w:val="0"/>
                <w:bCs w:val="0"/>
                <w:sz w:val="18"/>
                <w:szCs w:val="18"/>
              </w:rPr>
            </w:pPr>
            <w:r>
              <w:rPr>
                <w:rFonts w:hint="eastAsia" w:ascii="宋体" w:hAnsi="宋体" w:cs="宋体"/>
                <w:b w:val="0"/>
                <w:bCs w:val="0"/>
                <w:sz w:val="18"/>
                <w:szCs w:val="18"/>
              </w:rPr>
              <w:t>21.2</w:t>
            </w:r>
          </w:p>
        </w:tc>
        <w:tc>
          <w:tcPr>
            <w:tcW w:w="833" w:type="dxa"/>
          </w:tcPr>
          <w:p w14:paraId="430EC2AD">
            <w:pPr>
              <w:jc w:val="center"/>
              <w:rPr>
                <w:rFonts w:ascii="宋体" w:hAnsi="宋体" w:cs="宋体"/>
                <w:b w:val="0"/>
                <w:bCs w:val="0"/>
                <w:sz w:val="18"/>
                <w:szCs w:val="18"/>
              </w:rPr>
            </w:pPr>
            <w:r>
              <w:rPr>
                <w:rFonts w:hint="eastAsia" w:ascii="宋体" w:hAnsi="宋体" w:cs="宋体"/>
                <w:b w:val="0"/>
                <w:bCs w:val="0"/>
                <w:sz w:val="18"/>
                <w:szCs w:val="18"/>
              </w:rPr>
              <w:t>24.5</w:t>
            </w:r>
          </w:p>
        </w:tc>
        <w:tc>
          <w:tcPr>
            <w:tcW w:w="829" w:type="dxa"/>
          </w:tcPr>
          <w:p w14:paraId="6A10C4D2">
            <w:pPr>
              <w:jc w:val="center"/>
              <w:rPr>
                <w:rFonts w:ascii="宋体" w:hAnsi="宋体" w:cs="宋体"/>
                <w:b w:val="0"/>
                <w:bCs w:val="0"/>
                <w:sz w:val="18"/>
                <w:szCs w:val="18"/>
              </w:rPr>
            </w:pPr>
            <w:r>
              <w:rPr>
                <w:rFonts w:hint="eastAsia" w:ascii="宋体" w:hAnsi="宋体" w:cs="宋体"/>
                <w:b w:val="0"/>
                <w:bCs w:val="0"/>
                <w:sz w:val="18"/>
                <w:szCs w:val="18"/>
              </w:rPr>
              <w:t>27.9</w:t>
            </w:r>
          </w:p>
        </w:tc>
        <w:tc>
          <w:tcPr>
            <w:tcW w:w="770" w:type="dxa"/>
          </w:tcPr>
          <w:p w14:paraId="4C01C7F7">
            <w:pPr>
              <w:jc w:val="center"/>
              <w:rPr>
                <w:rFonts w:ascii="宋体" w:hAnsi="宋体" w:cs="宋体"/>
                <w:b w:val="0"/>
                <w:bCs w:val="0"/>
                <w:sz w:val="18"/>
                <w:szCs w:val="18"/>
              </w:rPr>
            </w:pPr>
            <w:r>
              <w:rPr>
                <w:rFonts w:hint="eastAsia" w:ascii="宋体" w:hAnsi="宋体" w:cs="宋体"/>
                <w:b w:val="0"/>
                <w:bCs w:val="0"/>
                <w:sz w:val="18"/>
                <w:szCs w:val="18"/>
              </w:rPr>
              <w:t>31.3</w:t>
            </w:r>
          </w:p>
        </w:tc>
        <w:tc>
          <w:tcPr>
            <w:tcW w:w="769" w:type="dxa"/>
          </w:tcPr>
          <w:p w14:paraId="6410D747">
            <w:pPr>
              <w:jc w:val="center"/>
              <w:rPr>
                <w:rFonts w:ascii="宋体" w:hAnsi="宋体" w:cs="宋体"/>
                <w:b w:val="0"/>
                <w:bCs w:val="0"/>
                <w:sz w:val="18"/>
                <w:szCs w:val="18"/>
              </w:rPr>
            </w:pPr>
            <w:r>
              <w:rPr>
                <w:rFonts w:hint="eastAsia" w:ascii="宋体" w:hAnsi="宋体" w:cs="宋体"/>
                <w:b w:val="0"/>
                <w:bCs w:val="0"/>
                <w:sz w:val="18"/>
                <w:szCs w:val="18"/>
              </w:rPr>
              <w:t>38.5</w:t>
            </w:r>
          </w:p>
        </w:tc>
      </w:tr>
    </w:tbl>
    <w:p w14:paraId="42866E1A">
      <w:pPr>
        <w:ind w:firstLine="420" w:firstLineChars="200"/>
        <w:rPr>
          <w:b w:val="0"/>
          <w:bCs w:val="0"/>
        </w:rPr>
      </w:pPr>
      <w:r>
        <w:rPr>
          <w:b w:val="0"/>
          <w:bCs w:val="0"/>
        </w:rPr>
        <w:t>［</w:t>
      </w:r>
      <w:r>
        <w:rPr>
          <w:rFonts w:hint="eastAsia"/>
          <w:b w:val="0"/>
          <w:bCs w:val="0"/>
          <w:lang w:val="en-US" w:eastAsia="zh-CN"/>
        </w:rPr>
        <w:t>追问</w:t>
      </w:r>
      <w:r>
        <w:rPr>
          <w:b w:val="0"/>
          <w:bCs w:val="0"/>
        </w:rPr>
        <w:t>］</w:t>
      </w:r>
      <w:r>
        <w:rPr>
          <w:rFonts w:hint="eastAsia" w:asciiTheme="minorEastAsia" w:hAnsiTheme="minorEastAsia" w:eastAsiaTheme="minorEastAsia" w:cstheme="minorEastAsia"/>
          <w:b w:val="0"/>
          <w:bCs w:val="0"/>
          <w:szCs w:val="21"/>
        </w:rPr>
        <w:t>分析表</w:t>
      </w:r>
      <w:r>
        <w:rPr>
          <w:rFonts w:hint="eastAsia" w:asciiTheme="minorEastAsia" w:hAnsiTheme="minorEastAsia" w:eastAsiaTheme="minorEastAsia" w:cstheme="minorEastAsia"/>
          <w:b w:val="0"/>
          <w:bCs w:val="0"/>
          <w:szCs w:val="21"/>
          <w:lang w:val="en-US" w:eastAsia="zh-CN"/>
        </w:rPr>
        <w:t>1</w:t>
      </w:r>
      <w:r>
        <w:rPr>
          <w:rFonts w:hint="eastAsia" w:asciiTheme="minorEastAsia" w:hAnsiTheme="minorEastAsia" w:eastAsiaTheme="minorEastAsia" w:cstheme="minorEastAsia"/>
          <w:b w:val="0"/>
          <w:bCs w:val="0"/>
          <w:szCs w:val="21"/>
        </w:rPr>
        <w:t>中</w:t>
      </w:r>
      <w:r>
        <w:rPr>
          <w:rFonts w:hint="eastAsia" w:asciiTheme="minorEastAsia" w:hAnsiTheme="minorEastAsia" w:eastAsiaTheme="minorEastAsia" w:cstheme="minorEastAsia"/>
          <w:b w:val="0"/>
          <w:bCs w:val="0"/>
          <w:szCs w:val="21"/>
          <w:lang w:val="en-US" w:eastAsia="zh-CN"/>
        </w:rPr>
        <w:t>的</w:t>
      </w:r>
      <w:r>
        <w:rPr>
          <w:rFonts w:hint="eastAsia" w:asciiTheme="minorEastAsia" w:hAnsiTheme="minorEastAsia" w:eastAsiaTheme="minorEastAsia" w:cstheme="minorEastAsia"/>
          <w:b w:val="0"/>
          <w:bCs w:val="0"/>
          <w:szCs w:val="21"/>
        </w:rPr>
        <w:t>信息，你认为向硫酸亚铁溶液中加入硫酸铵固体能得到</w:t>
      </w:r>
      <w:r>
        <w:rPr>
          <w:rFonts w:hint="eastAsia" w:ascii="宋体" w:hAnsi="宋体" w:cs="宋体"/>
          <w:b w:val="0"/>
          <w:bCs w:val="0"/>
          <w:szCs w:val="21"/>
        </w:rPr>
        <w:t>莫尔盐</w:t>
      </w:r>
      <w:r>
        <w:rPr>
          <w:rFonts w:hint="eastAsia" w:asciiTheme="minorEastAsia" w:hAnsiTheme="minorEastAsia" w:eastAsiaTheme="minorEastAsia" w:cstheme="minorEastAsia"/>
          <w:b w:val="0"/>
          <w:bCs w:val="0"/>
          <w:szCs w:val="21"/>
        </w:rPr>
        <w:t>的理由是什么？</w:t>
      </w:r>
    </w:p>
    <w:p w14:paraId="5D0494BF">
      <w:pPr>
        <w:ind w:firstLine="420" w:firstLineChars="200"/>
        <w:rPr>
          <w:rFonts w:hint="eastAsia"/>
          <w:b w:val="0"/>
          <w:bCs w:val="0"/>
        </w:rPr>
      </w:pPr>
      <w:r>
        <w:rPr>
          <w:b w:val="0"/>
          <w:bCs w:val="0"/>
        </w:rPr>
        <w:t>［</w:t>
      </w:r>
      <w:r>
        <w:rPr>
          <w:rFonts w:hint="eastAsia"/>
          <w:b w:val="0"/>
          <w:bCs w:val="0"/>
        </w:rPr>
        <w:t>学生主要想法</w:t>
      </w:r>
      <w:r>
        <w:rPr>
          <w:b w:val="0"/>
          <w:bCs w:val="0"/>
        </w:rPr>
        <w:t>］</w:t>
      </w:r>
      <w:r>
        <w:rPr>
          <w:rFonts w:hint="eastAsia"/>
          <w:b w:val="0"/>
          <w:bCs w:val="0"/>
        </w:rPr>
        <w:t>因为相同温度下，莫尔盐的溶解度明显比</w:t>
      </w:r>
      <w:r>
        <w:rPr>
          <w:rFonts w:hint="eastAsia" w:asciiTheme="minorEastAsia" w:hAnsiTheme="minorEastAsia" w:eastAsiaTheme="minorEastAsia" w:cstheme="minorEastAsia"/>
          <w:b w:val="0"/>
          <w:bCs w:val="0"/>
          <w:szCs w:val="21"/>
        </w:rPr>
        <w:t>七水合</w:t>
      </w:r>
      <w:r>
        <w:rPr>
          <w:rFonts w:hint="eastAsia"/>
          <w:b w:val="0"/>
          <w:bCs w:val="0"/>
        </w:rPr>
        <w:t>硫酸亚铁、硫酸铵的溶解度要小，所以莫尔盐更易从溶液中析出。</w:t>
      </w:r>
    </w:p>
    <w:p w14:paraId="470D6096">
      <w:pPr>
        <w:ind w:firstLine="420" w:firstLineChars="200"/>
        <w:rPr>
          <w:rFonts w:hint="default" w:ascii="楷体" w:hAnsi="楷体" w:eastAsia="楷体" w:cs="楷体"/>
          <w:b w:val="0"/>
          <w:bCs w:val="0"/>
          <w:lang w:val="en-US" w:eastAsia="zh-CN"/>
        </w:rPr>
      </w:pPr>
      <w:r>
        <w:rPr>
          <w:rFonts w:hint="eastAsia" w:ascii="楷体" w:hAnsi="楷体" w:eastAsia="楷体" w:cs="楷体"/>
          <w:b w:val="0"/>
          <w:bCs w:val="0"/>
          <w:lang w:val="en-US" w:eastAsia="zh-CN"/>
        </w:rPr>
        <w:t>设计意图：通过分析表中的信息，引导学生思考</w:t>
      </w:r>
      <w:r>
        <w:rPr>
          <w:rFonts w:hint="eastAsia" w:ascii="楷体" w:hAnsi="楷体" w:eastAsia="楷体" w:cs="楷体"/>
          <w:b w:val="0"/>
          <w:bCs w:val="0"/>
          <w:szCs w:val="21"/>
        </w:rPr>
        <w:t>向硫酸亚铁溶液中加入硫酸铵固体</w:t>
      </w:r>
      <w:r>
        <w:rPr>
          <w:rFonts w:hint="eastAsia" w:ascii="楷体" w:hAnsi="楷体" w:eastAsia="楷体" w:cs="楷体"/>
          <w:b w:val="0"/>
          <w:bCs w:val="0"/>
          <w:szCs w:val="21"/>
          <w:lang w:val="en-US" w:eastAsia="zh-CN"/>
        </w:rPr>
        <w:t>制备</w:t>
      </w:r>
      <w:r>
        <w:rPr>
          <w:rFonts w:hint="eastAsia" w:ascii="楷体" w:hAnsi="楷体" w:eastAsia="楷体" w:cs="楷体"/>
          <w:b w:val="0"/>
          <w:bCs w:val="0"/>
          <w:szCs w:val="21"/>
        </w:rPr>
        <w:t>莫尔盐</w:t>
      </w:r>
      <w:r>
        <w:rPr>
          <w:rFonts w:hint="eastAsia" w:ascii="楷体" w:hAnsi="楷体" w:eastAsia="楷体" w:cs="楷体"/>
          <w:b w:val="0"/>
          <w:bCs w:val="0"/>
          <w:szCs w:val="21"/>
          <w:lang w:val="en-US" w:eastAsia="zh-CN"/>
        </w:rPr>
        <w:t>的原因，学会从物质的变化视角认识物质的性质。</w:t>
      </w:r>
    </w:p>
    <w:p w14:paraId="543B8AE9">
      <w:pPr>
        <w:ind w:firstLine="420" w:firstLineChars="200"/>
        <w:rPr>
          <w:rFonts w:hint="eastAsia"/>
          <w:b w:val="0"/>
          <w:bCs w:val="0"/>
        </w:rPr>
      </w:pPr>
      <w:r>
        <w:rPr>
          <w:b w:val="0"/>
          <w:bCs w:val="0"/>
        </w:rPr>
        <w:t>［</w:t>
      </w:r>
      <w:r>
        <w:rPr>
          <w:rFonts w:hint="eastAsia"/>
          <w:b w:val="0"/>
          <w:bCs w:val="0"/>
          <w:lang w:val="en-US" w:eastAsia="zh-CN"/>
        </w:rPr>
        <w:t>活动</w:t>
      </w:r>
      <w:r>
        <w:rPr>
          <w:rFonts w:hint="eastAsia" w:asciiTheme="minorEastAsia" w:hAnsiTheme="minorEastAsia" w:eastAsiaTheme="minorEastAsia" w:cstheme="minorEastAsia"/>
          <w:b w:val="0"/>
          <w:bCs w:val="0"/>
          <w:lang w:val="en-US" w:eastAsia="zh-CN"/>
        </w:rPr>
        <w:t>2</w:t>
      </w:r>
      <w:r>
        <w:rPr>
          <w:b w:val="0"/>
          <w:bCs w:val="0"/>
        </w:rPr>
        <w:t>］</w:t>
      </w:r>
      <w:r>
        <w:rPr>
          <w:rFonts w:hint="eastAsia"/>
          <w:b w:val="0"/>
          <w:bCs w:val="0"/>
          <w:lang w:val="en-US" w:eastAsia="zh-CN"/>
        </w:rPr>
        <w:t>计算原料用量及产率。</w:t>
      </w:r>
    </w:p>
    <w:p w14:paraId="0A532875">
      <w:pPr>
        <w:ind w:firstLine="420" w:firstLineChars="200"/>
        <w:rPr>
          <w:rFonts w:ascii="Times New Roman" w:hAnsi="Times New Roman"/>
          <w:b w:val="0"/>
          <w:bCs w:val="0"/>
          <w:szCs w:val="21"/>
        </w:rPr>
      </w:pPr>
      <w:r>
        <w:rPr>
          <w:b w:val="0"/>
          <w:bCs w:val="0"/>
        </w:rPr>
        <w:t>［</w:t>
      </w:r>
      <w:r>
        <w:rPr>
          <w:rFonts w:hint="eastAsia"/>
          <w:b w:val="0"/>
          <w:bCs w:val="0"/>
          <w:lang w:val="en-US" w:eastAsia="zh-CN"/>
        </w:rPr>
        <w:t>问题</w:t>
      </w:r>
      <w:r>
        <w:rPr>
          <w:rFonts w:hint="eastAsia" w:asciiTheme="minorEastAsia" w:hAnsiTheme="minorEastAsia" w:eastAsiaTheme="minorEastAsia" w:cstheme="minorEastAsia"/>
          <w:b w:val="0"/>
          <w:bCs w:val="0"/>
          <w:lang w:val="en-US" w:eastAsia="zh-CN"/>
        </w:rPr>
        <w:t>2</w:t>
      </w:r>
      <w:r>
        <w:rPr>
          <w:b w:val="0"/>
          <w:bCs w:val="0"/>
        </w:rPr>
        <w:t>］</w:t>
      </w:r>
      <w:r>
        <w:rPr>
          <w:rFonts w:ascii="Times New Roman" w:hAnsi="Times New Roman"/>
          <w:b w:val="0"/>
          <w:bCs w:val="0"/>
          <w:szCs w:val="21"/>
        </w:rPr>
        <w:t>制备过程中，要将</w:t>
      </w:r>
      <w:r>
        <w:rPr>
          <w:rFonts w:hint="eastAsia" w:ascii="宋体" w:hAnsi="宋体" w:cs="宋体"/>
          <w:b w:val="0"/>
          <w:bCs w:val="0"/>
          <w:szCs w:val="21"/>
        </w:rPr>
        <w:t>4g</w:t>
      </w:r>
      <w:r>
        <w:rPr>
          <w:rFonts w:ascii="Times New Roman" w:hAnsi="Times New Roman"/>
          <w:b w:val="0"/>
          <w:bCs w:val="0"/>
          <w:szCs w:val="21"/>
        </w:rPr>
        <w:t>铁粉完全转化成莫尔盐，理论上至少要加入多少</w:t>
      </w:r>
      <w:r>
        <w:rPr>
          <w:rFonts w:hint="eastAsia" w:ascii="Times New Roman" w:hAnsi="Times New Roman"/>
          <w:b w:val="0"/>
          <w:bCs w:val="0"/>
          <w:szCs w:val="21"/>
        </w:rPr>
        <w:t>克</w:t>
      </w:r>
      <w:r>
        <w:rPr>
          <w:rFonts w:hint="eastAsia" w:ascii="宋体" w:hAnsi="宋体" w:cs="宋体"/>
          <w:b w:val="0"/>
          <w:bCs w:val="0"/>
          <w:szCs w:val="21"/>
        </w:rPr>
        <w:t>25</w:t>
      </w:r>
      <w:r>
        <w:rPr>
          <w:rFonts w:hint="eastAsia" w:ascii="宋体" w:hAnsi="宋体" w:cs="宋体"/>
          <w:b w:val="0"/>
          <w:bCs w:val="0"/>
        </w:rPr>
        <w:t>%</w:t>
      </w:r>
      <w:r>
        <w:rPr>
          <w:rFonts w:ascii="Times New Roman" w:hAnsi="Times New Roman"/>
          <w:b w:val="0"/>
          <w:bCs w:val="0"/>
          <w:szCs w:val="21"/>
        </w:rPr>
        <w:t>的硫酸溶液</w:t>
      </w:r>
      <w:r>
        <w:rPr>
          <w:rFonts w:hint="eastAsia" w:ascii="Times New Roman" w:hAnsi="Times New Roman"/>
          <w:b w:val="0"/>
          <w:bCs w:val="0"/>
          <w:szCs w:val="21"/>
        </w:rPr>
        <w:t>和多少克硫酸铵固体？并计算产率。</w:t>
      </w:r>
    </w:p>
    <w:p w14:paraId="7921E3E0">
      <w:pPr>
        <w:ind w:firstLine="420" w:firstLineChars="200"/>
        <w:rPr>
          <w:rFonts w:hint="eastAsia" w:ascii="宋体" w:hAnsi="宋体" w:cs="宋体"/>
          <w:b w:val="0"/>
          <w:bCs w:val="0"/>
        </w:rPr>
      </w:pPr>
      <w:r>
        <w:rPr>
          <w:b w:val="0"/>
          <w:bCs w:val="0"/>
        </w:rPr>
        <w:t>［</w:t>
      </w:r>
      <w:r>
        <w:rPr>
          <w:rFonts w:hint="eastAsia"/>
          <w:b w:val="0"/>
          <w:bCs w:val="0"/>
        </w:rPr>
        <w:t>学生活动表现</w:t>
      </w:r>
      <w:r>
        <w:rPr>
          <w:b w:val="0"/>
          <w:bCs w:val="0"/>
        </w:rPr>
        <w:t>］</w:t>
      </w:r>
      <w:r>
        <w:rPr>
          <w:rFonts w:hint="eastAsia"/>
          <w:b w:val="0"/>
          <w:bCs w:val="0"/>
        </w:rPr>
        <w:t>学生能利用</w:t>
      </w:r>
      <w:r>
        <w:rPr>
          <w:rFonts w:hint="eastAsia" w:asciiTheme="majorEastAsia" w:hAnsiTheme="majorEastAsia" w:eastAsiaTheme="majorEastAsia" w:cstheme="majorEastAsia"/>
          <w:b w:val="0"/>
          <w:bCs w:val="0"/>
        </w:rPr>
        <w:t>2</w:t>
      </w:r>
      <w:r>
        <w:rPr>
          <w:rFonts w:hint="eastAsia"/>
          <w:b w:val="0"/>
          <w:bCs w:val="0"/>
        </w:rPr>
        <w:t>个化学方程式分别计算出至少需</w:t>
      </w:r>
      <w:r>
        <w:rPr>
          <w:rFonts w:hint="eastAsia" w:ascii="宋体" w:hAnsi="宋体" w:cs="宋体"/>
          <w:b w:val="0"/>
          <w:bCs w:val="0"/>
        </w:rPr>
        <w:t>要28</w:t>
      </w:r>
      <w:r>
        <w:rPr>
          <w:rFonts w:hint="eastAsia" w:ascii="宋体" w:hAnsi="宋体" w:cs="宋体"/>
          <w:b w:val="0"/>
          <w:bCs w:val="0"/>
          <w:szCs w:val="21"/>
        </w:rPr>
        <w:t>g25</w:t>
      </w:r>
      <w:r>
        <w:rPr>
          <w:rFonts w:hint="eastAsia" w:ascii="宋体" w:hAnsi="宋体" w:cs="宋体"/>
          <w:b w:val="0"/>
          <w:bCs w:val="0"/>
        </w:rPr>
        <w:t>%</w:t>
      </w:r>
      <w:r>
        <w:rPr>
          <w:rFonts w:hint="eastAsia" w:ascii="宋体" w:hAnsi="宋体" w:cs="宋体"/>
          <w:b w:val="0"/>
          <w:bCs w:val="0"/>
          <w:szCs w:val="21"/>
        </w:rPr>
        <w:t>的硫酸溶液和9.4g硫酸铵固体。计算产率时，大部分学生是利用</w:t>
      </w:r>
      <w:r>
        <w:rPr>
          <w:rFonts w:hint="eastAsia" w:ascii="宋体" w:hAnsi="宋体" w:cs="宋体"/>
          <w:b w:val="0"/>
          <w:bCs w:val="0"/>
        </w:rPr>
        <w:t>2个</w:t>
      </w:r>
      <w:r>
        <w:rPr>
          <w:rFonts w:hint="eastAsia" w:ascii="宋体" w:hAnsi="宋体" w:cs="宋体"/>
          <w:b w:val="0"/>
          <w:bCs w:val="0"/>
          <w:szCs w:val="21"/>
        </w:rPr>
        <w:t>化学方程式分两步计算出4g铁粉理论上可转化成28g莫尔盐，求出</w:t>
      </w:r>
      <w:r>
        <w:rPr>
          <w:rFonts w:hint="eastAsia" w:ascii="宋体" w:hAnsi="宋体" w:cs="宋体"/>
          <w:b w:val="0"/>
          <w:bCs w:val="0"/>
        </w:rPr>
        <w:t>产率=(23.13</w:t>
      </w:r>
      <w:r>
        <w:rPr>
          <w:rFonts w:hint="eastAsia" w:ascii="宋体" w:hAnsi="宋体" w:cs="宋体"/>
          <w:b w:val="0"/>
          <w:bCs w:val="0"/>
          <w:szCs w:val="21"/>
        </w:rPr>
        <w:t>g</w:t>
      </w:r>
      <w:r>
        <w:rPr>
          <w:rFonts w:hint="eastAsia" w:ascii="宋体" w:hAnsi="宋体" w:cs="宋体"/>
          <w:b w:val="0"/>
          <w:bCs w:val="0"/>
        </w:rPr>
        <w:t>/28</w:t>
      </w:r>
      <w:r>
        <w:rPr>
          <w:rFonts w:hint="eastAsia" w:ascii="宋体" w:hAnsi="宋体" w:cs="宋体"/>
          <w:b w:val="0"/>
          <w:bCs w:val="0"/>
          <w:szCs w:val="21"/>
        </w:rPr>
        <w:t>g</w:t>
      </w:r>
      <w:r>
        <w:rPr>
          <w:rFonts w:hint="eastAsia" w:ascii="宋体" w:hAnsi="宋体" w:cs="宋体"/>
          <w:b w:val="0"/>
          <w:bCs w:val="0"/>
        </w:rPr>
        <w:t>)×100%=82.6%，很少有学生根据转化过程中铁元素质量守恒直接计算出莫尔盐的理论产量。在教师的引导下，学生认识到可以根据铁元素质量守恒来计算莫尔盐的理论产量：4</w:t>
      </w:r>
      <w:r>
        <w:rPr>
          <w:rFonts w:hint="eastAsia" w:ascii="宋体" w:hAnsi="宋体" w:cs="宋体"/>
          <w:b w:val="0"/>
          <w:bCs w:val="0"/>
          <w:szCs w:val="21"/>
        </w:rPr>
        <w:t>g</w:t>
      </w:r>
      <w:r>
        <w:rPr>
          <w:rFonts w:hint="eastAsia" w:ascii="宋体" w:hAnsi="宋体" w:cs="宋体"/>
          <w:b w:val="0"/>
          <w:bCs w:val="0"/>
        </w:rPr>
        <w:t>/[(56/392)×100%]=28</w:t>
      </w:r>
      <w:r>
        <w:rPr>
          <w:rFonts w:hint="eastAsia" w:ascii="宋体" w:hAnsi="宋体" w:cs="宋体"/>
          <w:b w:val="0"/>
          <w:bCs w:val="0"/>
          <w:szCs w:val="21"/>
        </w:rPr>
        <w:t>g</w:t>
      </w:r>
      <w:r>
        <w:rPr>
          <w:rFonts w:hint="eastAsia" w:ascii="宋体" w:hAnsi="宋体" w:cs="宋体"/>
          <w:b w:val="0"/>
          <w:bCs w:val="0"/>
        </w:rPr>
        <w:t>。</w:t>
      </w:r>
    </w:p>
    <w:p w14:paraId="2F8A3EE2">
      <w:pPr>
        <w:ind w:firstLine="420" w:firstLineChars="200"/>
        <w:rPr>
          <w:rFonts w:hint="default" w:ascii="宋体" w:hAnsi="宋体" w:cs="宋体"/>
          <w:b w:val="0"/>
          <w:bCs w:val="0"/>
          <w:lang w:val="en-US"/>
        </w:rPr>
      </w:pPr>
      <w:r>
        <w:rPr>
          <w:rFonts w:hint="eastAsia" w:ascii="楷体" w:hAnsi="楷体" w:eastAsia="楷体" w:cs="楷体"/>
          <w:b w:val="0"/>
          <w:bCs w:val="0"/>
          <w:lang w:val="en-US" w:eastAsia="zh-CN"/>
        </w:rPr>
        <w:t>设计意图：定量分析是研究物质及其变化的重要方式</w:t>
      </w:r>
      <w:r>
        <w:rPr>
          <w:rFonts w:hint="eastAsia" w:ascii="楷体" w:hAnsi="楷体" w:eastAsia="楷体" w:cs="楷体"/>
          <w:b w:val="0"/>
          <w:bCs w:val="0"/>
          <w:szCs w:val="21"/>
          <w:lang w:val="en-US" w:eastAsia="zh-CN"/>
        </w:rPr>
        <w:t>。通过定量计算理论上所需硫酸溶液和硫酸铵固体的质量，一方面可以促进学生形成“</w:t>
      </w:r>
      <w:r>
        <w:rPr>
          <w:rFonts w:hint="eastAsia" w:ascii="楷体" w:hAnsi="楷体" w:eastAsia="楷体" w:cs="楷体"/>
          <w:sz w:val="21"/>
          <w:szCs w:val="21"/>
        </w:rPr>
        <w:t>化学反应中的各物质间存在定量关系</w:t>
      </w:r>
      <w:r>
        <w:rPr>
          <w:rFonts w:hint="eastAsia" w:ascii="楷体" w:hAnsi="楷体" w:eastAsia="楷体" w:cs="楷体"/>
          <w:b w:val="0"/>
          <w:bCs w:val="0"/>
          <w:szCs w:val="21"/>
          <w:lang w:val="en-US" w:eastAsia="zh-CN"/>
        </w:rPr>
        <w:t>”这一变化观念，另一方面可以让学生感悟到物质制备过程中“量”的重要意义，从“量”的角度发展元素守恒观和定量观。</w:t>
      </w:r>
    </w:p>
    <w:p w14:paraId="2F92C10E">
      <w:pPr>
        <w:ind w:firstLine="420" w:firstLineChars="20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5.3 任务2 制备过程中的条件控制</w:t>
      </w:r>
    </w:p>
    <w:p w14:paraId="09144AAF">
      <w:pPr>
        <w:ind w:firstLine="420" w:firstLineChars="2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资料3</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sz w:val="21"/>
          <w:szCs w:val="21"/>
        </w:rPr>
        <w:t>表</w:t>
      </w:r>
      <w:r>
        <w:rPr>
          <w:rFonts w:hint="eastAsia" w:asciiTheme="minorEastAsia" w:hAnsiTheme="minorEastAsia" w:eastAsiaTheme="minorEastAsia" w:cstheme="minorEastAsia"/>
          <w:b w:val="0"/>
          <w:bCs w:val="0"/>
          <w:sz w:val="21"/>
          <w:szCs w:val="21"/>
          <w:lang w:val="en-US" w:eastAsia="zh-CN"/>
        </w:rPr>
        <w:t>2是</w:t>
      </w:r>
      <w:r>
        <w:rPr>
          <w:rFonts w:hint="eastAsia" w:asciiTheme="minorEastAsia" w:hAnsiTheme="minorEastAsia" w:eastAsiaTheme="minorEastAsia" w:cstheme="minorEastAsia"/>
          <w:b w:val="0"/>
          <w:bCs w:val="0"/>
          <w:sz w:val="21"/>
          <w:szCs w:val="21"/>
        </w:rPr>
        <w:t>硫酸亚铁的溶解度和析出晶体的组成</w:t>
      </w:r>
      <w:r>
        <w:rPr>
          <w:rFonts w:hint="eastAsia" w:asciiTheme="minorEastAsia" w:hAnsiTheme="minorEastAsia" w:eastAsiaTheme="minorEastAsia" w:cstheme="minorEastAsia"/>
          <w:b w:val="0"/>
          <w:bCs w:val="0"/>
          <w:sz w:val="21"/>
          <w:szCs w:val="21"/>
          <w:lang w:eastAsia="zh-CN"/>
        </w:rPr>
        <w:t>。</w:t>
      </w:r>
    </w:p>
    <w:p w14:paraId="120E48C0">
      <w:pPr>
        <w:jc w:val="center"/>
        <w:rPr>
          <w:rFonts w:ascii="黑体" w:hAnsi="黑体" w:eastAsia="黑体" w:cs="黑体"/>
          <w:b w:val="0"/>
          <w:bCs w:val="0"/>
          <w:sz w:val="18"/>
          <w:szCs w:val="18"/>
        </w:rPr>
      </w:pPr>
      <w:r>
        <w:rPr>
          <w:rFonts w:hint="eastAsia" w:ascii="黑体" w:hAnsi="黑体" w:eastAsia="黑体" w:cs="黑体"/>
          <w:b w:val="0"/>
          <w:bCs w:val="0"/>
          <w:sz w:val="18"/>
          <w:szCs w:val="18"/>
        </w:rPr>
        <w:t>表</w:t>
      </w:r>
      <w:r>
        <w:rPr>
          <w:rFonts w:hint="eastAsia" w:ascii="黑体" w:hAnsi="黑体" w:eastAsia="黑体" w:cs="黑体"/>
          <w:b w:val="0"/>
          <w:bCs w:val="0"/>
          <w:sz w:val="18"/>
          <w:szCs w:val="18"/>
          <w:lang w:val="en-US" w:eastAsia="zh-CN"/>
        </w:rPr>
        <w:t>2</w:t>
      </w:r>
      <w:r>
        <w:rPr>
          <w:rFonts w:hint="eastAsia" w:ascii="黑体" w:hAnsi="黑体" w:eastAsia="黑体" w:cs="黑体"/>
          <w:b w:val="0"/>
          <w:bCs w:val="0"/>
          <w:sz w:val="18"/>
          <w:szCs w:val="18"/>
        </w:rPr>
        <w:t xml:space="preserve">  硫酸亚铁的溶解度和析出晶体的组成</w:t>
      </w:r>
      <w:r>
        <w:rPr>
          <w:rFonts w:hint="eastAsia" w:ascii="黑体" w:hAnsi="黑体" w:eastAsia="黑体" w:cs="黑体"/>
          <w:b w:val="0"/>
          <w:bCs w:val="0"/>
          <w:sz w:val="18"/>
          <w:szCs w:val="18"/>
          <w:vertAlign w:val="superscript"/>
        </w:rPr>
        <w:t>[</w:t>
      </w:r>
      <w:r>
        <w:rPr>
          <w:rFonts w:hint="eastAsia" w:ascii="黑体" w:hAnsi="黑体" w:eastAsia="黑体" w:cs="黑体"/>
          <w:b w:val="0"/>
          <w:bCs w:val="0"/>
          <w:sz w:val="18"/>
          <w:szCs w:val="18"/>
          <w:vertAlign w:val="superscript"/>
          <w:lang w:val="en-US" w:eastAsia="zh-CN"/>
        </w:rPr>
        <w:t>9</w:t>
      </w:r>
      <w:r>
        <w:rPr>
          <w:rFonts w:hint="eastAsia" w:ascii="黑体" w:hAnsi="黑体" w:eastAsia="黑体" w:cs="黑体"/>
          <w:b w:val="0"/>
          <w:bCs w:val="0"/>
          <w:sz w:val="18"/>
          <w:szCs w:val="18"/>
          <w:vertAlign w:val="superscript"/>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645"/>
        <w:gridCol w:w="630"/>
        <w:gridCol w:w="630"/>
        <w:gridCol w:w="630"/>
        <w:gridCol w:w="615"/>
        <w:gridCol w:w="615"/>
        <w:gridCol w:w="600"/>
        <w:gridCol w:w="600"/>
        <w:gridCol w:w="630"/>
        <w:gridCol w:w="645"/>
      </w:tblGrid>
      <w:tr w14:paraId="466B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71" w:type="dxa"/>
          </w:tcPr>
          <w:p w14:paraId="7F40AE62">
            <w:pPr>
              <w:jc w:val="center"/>
              <w:rPr>
                <w:rFonts w:ascii="Times New Roman" w:hAnsi="Times New Roman"/>
                <w:b w:val="0"/>
                <w:bCs w:val="0"/>
                <w:sz w:val="18"/>
                <w:szCs w:val="18"/>
              </w:rPr>
            </w:pPr>
            <w:r>
              <w:rPr>
                <w:rFonts w:ascii="Times New Roman" w:hAnsi="Times New Roman"/>
                <w:b w:val="0"/>
                <w:bCs w:val="0"/>
                <w:sz w:val="18"/>
                <w:szCs w:val="18"/>
              </w:rPr>
              <w:t>温度/</w:t>
            </w:r>
            <w:r>
              <w:rPr>
                <w:rFonts w:hint="eastAsia" w:ascii="宋体" w:hAnsi="宋体" w:cs="宋体"/>
                <w:b w:val="0"/>
                <w:bCs w:val="0"/>
                <w:sz w:val="18"/>
                <w:szCs w:val="18"/>
              </w:rPr>
              <w:t>℃</w:t>
            </w:r>
          </w:p>
        </w:tc>
        <w:tc>
          <w:tcPr>
            <w:tcW w:w="645" w:type="dxa"/>
          </w:tcPr>
          <w:p w14:paraId="027D4F6A">
            <w:pPr>
              <w:jc w:val="center"/>
              <w:rPr>
                <w:rFonts w:ascii="宋体" w:hAnsi="宋体" w:cs="宋体"/>
                <w:b w:val="0"/>
                <w:bCs w:val="0"/>
                <w:sz w:val="18"/>
                <w:szCs w:val="18"/>
              </w:rPr>
            </w:pPr>
            <w:r>
              <w:rPr>
                <w:rFonts w:hint="eastAsia" w:ascii="宋体" w:hAnsi="宋体" w:cs="宋体"/>
                <w:b w:val="0"/>
                <w:bCs w:val="0"/>
                <w:sz w:val="18"/>
                <w:szCs w:val="18"/>
              </w:rPr>
              <w:t>0</w:t>
            </w:r>
          </w:p>
        </w:tc>
        <w:tc>
          <w:tcPr>
            <w:tcW w:w="630" w:type="dxa"/>
          </w:tcPr>
          <w:p w14:paraId="77215621">
            <w:pPr>
              <w:jc w:val="center"/>
              <w:rPr>
                <w:rFonts w:ascii="宋体" w:hAnsi="宋体" w:cs="宋体"/>
                <w:b w:val="0"/>
                <w:bCs w:val="0"/>
                <w:sz w:val="18"/>
                <w:szCs w:val="18"/>
              </w:rPr>
            </w:pPr>
            <w:r>
              <w:rPr>
                <w:rFonts w:hint="eastAsia" w:ascii="宋体" w:hAnsi="宋体" w:cs="宋体"/>
                <w:b w:val="0"/>
                <w:bCs w:val="0"/>
                <w:sz w:val="18"/>
                <w:szCs w:val="18"/>
              </w:rPr>
              <w:t>10</w:t>
            </w:r>
          </w:p>
        </w:tc>
        <w:tc>
          <w:tcPr>
            <w:tcW w:w="630" w:type="dxa"/>
          </w:tcPr>
          <w:p w14:paraId="06BBD55E">
            <w:pPr>
              <w:jc w:val="center"/>
              <w:rPr>
                <w:rFonts w:ascii="宋体" w:hAnsi="宋体" w:cs="宋体"/>
                <w:b w:val="0"/>
                <w:bCs w:val="0"/>
                <w:sz w:val="18"/>
                <w:szCs w:val="18"/>
              </w:rPr>
            </w:pPr>
            <w:r>
              <w:rPr>
                <w:rFonts w:hint="eastAsia" w:ascii="宋体" w:hAnsi="宋体" w:cs="宋体"/>
                <w:b w:val="0"/>
                <w:bCs w:val="0"/>
                <w:sz w:val="18"/>
                <w:szCs w:val="18"/>
              </w:rPr>
              <w:t>30</w:t>
            </w:r>
          </w:p>
        </w:tc>
        <w:tc>
          <w:tcPr>
            <w:tcW w:w="630" w:type="dxa"/>
          </w:tcPr>
          <w:p w14:paraId="523C78D8">
            <w:pPr>
              <w:jc w:val="center"/>
              <w:rPr>
                <w:rFonts w:ascii="宋体" w:hAnsi="宋体" w:cs="宋体"/>
                <w:b w:val="0"/>
                <w:bCs w:val="0"/>
                <w:sz w:val="18"/>
                <w:szCs w:val="18"/>
              </w:rPr>
            </w:pPr>
            <w:r>
              <w:rPr>
                <w:rFonts w:hint="eastAsia" w:ascii="宋体" w:hAnsi="宋体" w:cs="宋体"/>
                <w:b w:val="0"/>
                <w:bCs w:val="0"/>
                <w:sz w:val="18"/>
                <w:szCs w:val="18"/>
              </w:rPr>
              <w:t>50</w:t>
            </w:r>
          </w:p>
        </w:tc>
        <w:tc>
          <w:tcPr>
            <w:tcW w:w="615" w:type="dxa"/>
          </w:tcPr>
          <w:p w14:paraId="36F7EA2D">
            <w:pPr>
              <w:jc w:val="center"/>
              <w:rPr>
                <w:rFonts w:ascii="宋体" w:hAnsi="宋体" w:cs="宋体"/>
                <w:b w:val="0"/>
                <w:bCs w:val="0"/>
                <w:sz w:val="18"/>
                <w:szCs w:val="18"/>
              </w:rPr>
            </w:pPr>
            <w:r>
              <w:rPr>
                <w:rFonts w:hint="eastAsia" w:ascii="宋体" w:hAnsi="宋体" w:cs="宋体"/>
                <w:b w:val="0"/>
                <w:bCs w:val="0"/>
                <w:sz w:val="18"/>
                <w:szCs w:val="18"/>
              </w:rPr>
              <w:t>56.7</w:t>
            </w:r>
          </w:p>
        </w:tc>
        <w:tc>
          <w:tcPr>
            <w:tcW w:w="615" w:type="dxa"/>
          </w:tcPr>
          <w:p w14:paraId="3FB1C020">
            <w:pPr>
              <w:jc w:val="center"/>
              <w:rPr>
                <w:rFonts w:ascii="宋体" w:hAnsi="宋体" w:cs="宋体"/>
                <w:b w:val="0"/>
                <w:bCs w:val="0"/>
                <w:sz w:val="18"/>
                <w:szCs w:val="18"/>
              </w:rPr>
            </w:pPr>
            <w:r>
              <w:rPr>
                <w:rFonts w:hint="eastAsia" w:ascii="宋体" w:hAnsi="宋体" w:cs="宋体"/>
                <w:b w:val="0"/>
                <w:bCs w:val="0"/>
                <w:sz w:val="18"/>
                <w:szCs w:val="18"/>
              </w:rPr>
              <w:t>60</w:t>
            </w:r>
          </w:p>
        </w:tc>
        <w:tc>
          <w:tcPr>
            <w:tcW w:w="600" w:type="dxa"/>
          </w:tcPr>
          <w:p w14:paraId="3E5A517E">
            <w:pPr>
              <w:jc w:val="center"/>
              <w:rPr>
                <w:rFonts w:ascii="宋体" w:hAnsi="宋体" w:cs="宋体"/>
                <w:b w:val="0"/>
                <w:bCs w:val="0"/>
                <w:sz w:val="18"/>
                <w:szCs w:val="18"/>
              </w:rPr>
            </w:pPr>
            <w:r>
              <w:rPr>
                <w:rFonts w:hint="eastAsia" w:ascii="宋体" w:hAnsi="宋体" w:cs="宋体"/>
                <w:b w:val="0"/>
                <w:bCs w:val="0"/>
                <w:sz w:val="18"/>
                <w:szCs w:val="18"/>
              </w:rPr>
              <w:t>64</w:t>
            </w:r>
          </w:p>
        </w:tc>
        <w:tc>
          <w:tcPr>
            <w:tcW w:w="600" w:type="dxa"/>
          </w:tcPr>
          <w:p w14:paraId="171A85E4">
            <w:pPr>
              <w:jc w:val="center"/>
              <w:rPr>
                <w:rFonts w:ascii="宋体" w:hAnsi="宋体" w:cs="宋体"/>
                <w:b w:val="0"/>
                <w:bCs w:val="0"/>
                <w:sz w:val="18"/>
                <w:szCs w:val="18"/>
              </w:rPr>
            </w:pPr>
            <w:r>
              <w:rPr>
                <w:rFonts w:hint="eastAsia" w:ascii="宋体" w:hAnsi="宋体" w:cs="宋体"/>
                <w:b w:val="0"/>
                <w:bCs w:val="0"/>
                <w:sz w:val="18"/>
                <w:szCs w:val="18"/>
              </w:rPr>
              <w:t>70</w:t>
            </w:r>
          </w:p>
        </w:tc>
        <w:tc>
          <w:tcPr>
            <w:tcW w:w="630" w:type="dxa"/>
          </w:tcPr>
          <w:p w14:paraId="650F20EE">
            <w:pPr>
              <w:jc w:val="center"/>
              <w:rPr>
                <w:rFonts w:ascii="宋体" w:hAnsi="宋体" w:cs="宋体"/>
                <w:b w:val="0"/>
                <w:bCs w:val="0"/>
                <w:sz w:val="18"/>
                <w:szCs w:val="18"/>
              </w:rPr>
            </w:pPr>
            <w:r>
              <w:rPr>
                <w:rFonts w:hint="eastAsia" w:ascii="宋体" w:hAnsi="宋体" w:cs="宋体"/>
                <w:b w:val="0"/>
                <w:bCs w:val="0"/>
                <w:sz w:val="18"/>
                <w:szCs w:val="18"/>
              </w:rPr>
              <w:t>80</w:t>
            </w:r>
          </w:p>
        </w:tc>
        <w:tc>
          <w:tcPr>
            <w:tcW w:w="645" w:type="dxa"/>
          </w:tcPr>
          <w:p w14:paraId="5BEF87AD">
            <w:pPr>
              <w:jc w:val="center"/>
              <w:rPr>
                <w:rFonts w:ascii="宋体" w:hAnsi="宋体" w:cs="宋体"/>
                <w:b w:val="0"/>
                <w:bCs w:val="0"/>
                <w:sz w:val="18"/>
                <w:szCs w:val="18"/>
              </w:rPr>
            </w:pPr>
            <w:r>
              <w:rPr>
                <w:rFonts w:hint="eastAsia" w:ascii="宋体" w:hAnsi="宋体" w:cs="宋体"/>
                <w:b w:val="0"/>
                <w:bCs w:val="0"/>
                <w:sz w:val="18"/>
                <w:szCs w:val="18"/>
              </w:rPr>
              <w:t>90</w:t>
            </w:r>
          </w:p>
        </w:tc>
      </w:tr>
      <w:tr w14:paraId="09D3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Pr>
          <w:p w14:paraId="43A7F5D6">
            <w:pPr>
              <w:jc w:val="center"/>
              <w:rPr>
                <w:rFonts w:ascii="Times New Roman" w:hAnsi="Times New Roman"/>
                <w:b w:val="0"/>
                <w:bCs w:val="0"/>
                <w:sz w:val="18"/>
                <w:szCs w:val="18"/>
              </w:rPr>
            </w:pPr>
            <w:r>
              <w:rPr>
                <w:rFonts w:ascii="Times New Roman" w:hAnsi="Times New Roman"/>
                <w:b w:val="0"/>
                <w:bCs w:val="0"/>
                <w:sz w:val="18"/>
                <w:szCs w:val="18"/>
              </w:rPr>
              <w:t>溶解度/</w:t>
            </w:r>
            <w:r>
              <w:rPr>
                <w:rFonts w:hint="eastAsia" w:ascii="宋体" w:hAnsi="宋体" w:cs="宋体"/>
                <w:b w:val="0"/>
                <w:bCs w:val="0"/>
                <w:sz w:val="18"/>
                <w:szCs w:val="18"/>
              </w:rPr>
              <w:t>g</w:t>
            </w:r>
          </w:p>
        </w:tc>
        <w:tc>
          <w:tcPr>
            <w:tcW w:w="645" w:type="dxa"/>
          </w:tcPr>
          <w:p w14:paraId="47DFCA6D">
            <w:pPr>
              <w:jc w:val="center"/>
              <w:rPr>
                <w:rFonts w:ascii="宋体" w:hAnsi="宋体" w:cs="宋体"/>
                <w:b w:val="0"/>
                <w:bCs w:val="0"/>
                <w:sz w:val="18"/>
                <w:szCs w:val="18"/>
              </w:rPr>
            </w:pPr>
            <w:r>
              <w:rPr>
                <w:rFonts w:hint="eastAsia" w:ascii="宋体" w:hAnsi="宋体" w:cs="宋体"/>
                <w:b w:val="0"/>
                <w:bCs w:val="0"/>
                <w:sz w:val="18"/>
                <w:szCs w:val="18"/>
              </w:rPr>
              <w:t>14.0</w:t>
            </w:r>
          </w:p>
        </w:tc>
        <w:tc>
          <w:tcPr>
            <w:tcW w:w="630" w:type="dxa"/>
          </w:tcPr>
          <w:p w14:paraId="6FE75AD3">
            <w:pPr>
              <w:jc w:val="center"/>
              <w:rPr>
                <w:rFonts w:ascii="宋体" w:hAnsi="宋体" w:cs="宋体"/>
                <w:b w:val="0"/>
                <w:bCs w:val="0"/>
                <w:sz w:val="18"/>
                <w:szCs w:val="18"/>
              </w:rPr>
            </w:pPr>
            <w:r>
              <w:rPr>
                <w:rFonts w:hint="eastAsia" w:ascii="宋体" w:hAnsi="宋体" w:cs="宋体"/>
                <w:b w:val="0"/>
                <w:bCs w:val="0"/>
                <w:sz w:val="18"/>
                <w:szCs w:val="18"/>
              </w:rPr>
              <w:t>17.0</w:t>
            </w:r>
          </w:p>
        </w:tc>
        <w:tc>
          <w:tcPr>
            <w:tcW w:w="630" w:type="dxa"/>
          </w:tcPr>
          <w:p w14:paraId="2ECFA53E">
            <w:pPr>
              <w:jc w:val="center"/>
              <w:rPr>
                <w:rFonts w:ascii="宋体" w:hAnsi="宋体" w:cs="宋体"/>
                <w:b w:val="0"/>
                <w:bCs w:val="0"/>
                <w:sz w:val="18"/>
                <w:szCs w:val="18"/>
              </w:rPr>
            </w:pPr>
            <w:r>
              <w:rPr>
                <w:rFonts w:hint="eastAsia" w:ascii="宋体" w:hAnsi="宋体" w:cs="宋体"/>
                <w:b w:val="0"/>
                <w:bCs w:val="0"/>
                <w:sz w:val="18"/>
                <w:szCs w:val="18"/>
              </w:rPr>
              <w:t>25.0</w:t>
            </w:r>
          </w:p>
        </w:tc>
        <w:tc>
          <w:tcPr>
            <w:tcW w:w="630" w:type="dxa"/>
          </w:tcPr>
          <w:p w14:paraId="456E49BE">
            <w:pPr>
              <w:jc w:val="center"/>
              <w:rPr>
                <w:rFonts w:ascii="宋体" w:hAnsi="宋体" w:cs="宋体"/>
                <w:b w:val="0"/>
                <w:bCs w:val="0"/>
                <w:sz w:val="18"/>
                <w:szCs w:val="18"/>
              </w:rPr>
            </w:pPr>
            <w:r>
              <w:rPr>
                <w:rFonts w:hint="eastAsia" w:ascii="宋体" w:hAnsi="宋体" w:cs="宋体"/>
                <w:b w:val="0"/>
                <w:bCs w:val="0"/>
                <w:sz w:val="18"/>
                <w:szCs w:val="18"/>
              </w:rPr>
              <w:t>33.0</w:t>
            </w:r>
          </w:p>
        </w:tc>
        <w:tc>
          <w:tcPr>
            <w:tcW w:w="615" w:type="dxa"/>
          </w:tcPr>
          <w:p w14:paraId="41F15818">
            <w:pPr>
              <w:jc w:val="center"/>
              <w:rPr>
                <w:rFonts w:ascii="宋体" w:hAnsi="宋体" w:cs="宋体"/>
                <w:b w:val="0"/>
                <w:bCs w:val="0"/>
                <w:sz w:val="18"/>
                <w:szCs w:val="18"/>
              </w:rPr>
            </w:pPr>
            <w:r>
              <w:rPr>
                <w:rFonts w:hint="eastAsia" w:ascii="宋体" w:hAnsi="宋体" w:cs="宋体"/>
                <w:b w:val="0"/>
                <w:bCs w:val="0"/>
                <w:sz w:val="18"/>
                <w:szCs w:val="18"/>
              </w:rPr>
              <w:t>35.2</w:t>
            </w:r>
          </w:p>
        </w:tc>
        <w:tc>
          <w:tcPr>
            <w:tcW w:w="615" w:type="dxa"/>
          </w:tcPr>
          <w:p w14:paraId="7B6CE8E6">
            <w:pPr>
              <w:jc w:val="center"/>
              <w:rPr>
                <w:rFonts w:ascii="宋体" w:hAnsi="宋体" w:cs="宋体"/>
                <w:b w:val="0"/>
                <w:bCs w:val="0"/>
                <w:sz w:val="18"/>
                <w:szCs w:val="18"/>
              </w:rPr>
            </w:pPr>
            <w:r>
              <w:rPr>
                <w:rFonts w:hint="eastAsia" w:ascii="宋体" w:hAnsi="宋体" w:cs="宋体"/>
                <w:b w:val="0"/>
                <w:bCs w:val="0"/>
                <w:sz w:val="18"/>
                <w:szCs w:val="18"/>
              </w:rPr>
              <w:t>35.3</w:t>
            </w:r>
          </w:p>
        </w:tc>
        <w:tc>
          <w:tcPr>
            <w:tcW w:w="600" w:type="dxa"/>
          </w:tcPr>
          <w:p w14:paraId="44697CBF">
            <w:pPr>
              <w:jc w:val="center"/>
              <w:rPr>
                <w:rFonts w:ascii="宋体" w:hAnsi="宋体" w:cs="宋体"/>
                <w:b w:val="0"/>
                <w:bCs w:val="0"/>
                <w:sz w:val="18"/>
                <w:szCs w:val="18"/>
              </w:rPr>
            </w:pPr>
            <w:r>
              <w:rPr>
                <w:rFonts w:hint="eastAsia" w:ascii="宋体" w:hAnsi="宋体" w:cs="宋体"/>
                <w:b w:val="0"/>
                <w:bCs w:val="0"/>
                <w:sz w:val="18"/>
                <w:szCs w:val="18"/>
              </w:rPr>
              <w:t>35.6</w:t>
            </w:r>
          </w:p>
        </w:tc>
        <w:tc>
          <w:tcPr>
            <w:tcW w:w="600" w:type="dxa"/>
          </w:tcPr>
          <w:p w14:paraId="63474DAD">
            <w:pPr>
              <w:jc w:val="center"/>
              <w:rPr>
                <w:rFonts w:ascii="宋体" w:hAnsi="宋体" w:cs="宋体"/>
                <w:b w:val="0"/>
                <w:bCs w:val="0"/>
                <w:sz w:val="18"/>
                <w:szCs w:val="18"/>
              </w:rPr>
            </w:pPr>
            <w:r>
              <w:rPr>
                <w:rFonts w:hint="eastAsia" w:ascii="宋体" w:hAnsi="宋体" w:cs="宋体"/>
                <w:b w:val="0"/>
                <w:bCs w:val="0"/>
                <w:sz w:val="18"/>
                <w:szCs w:val="18"/>
              </w:rPr>
              <w:t>33.0</w:t>
            </w:r>
          </w:p>
        </w:tc>
        <w:tc>
          <w:tcPr>
            <w:tcW w:w="630" w:type="dxa"/>
          </w:tcPr>
          <w:p w14:paraId="4A60A5BD">
            <w:pPr>
              <w:jc w:val="center"/>
              <w:rPr>
                <w:rFonts w:ascii="宋体" w:hAnsi="宋体" w:cs="宋体"/>
                <w:b w:val="0"/>
                <w:bCs w:val="0"/>
                <w:sz w:val="18"/>
                <w:szCs w:val="18"/>
              </w:rPr>
            </w:pPr>
            <w:r>
              <w:rPr>
                <w:rFonts w:hint="eastAsia" w:ascii="宋体" w:hAnsi="宋体" w:cs="宋体"/>
                <w:b w:val="0"/>
                <w:bCs w:val="0"/>
                <w:sz w:val="18"/>
                <w:szCs w:val="18"/>
              </w:rPr>
              <w:t>30.5</w:t>
            </w:r>
          </w:p>
        </w:tc>
        <w:tc>
          <w:tcPr>
            <w:tcW w:w="645" w:type="dxa"/>
          </w:tcPr>
          <w:p w14:paraId="4219DEC2">
            <w:pPr>
              <w:jc w:val="center"/>
              <w:rPr>
                <w:rFonts w:ascii="宋体" w:hAnsi="宋体" w:cs="宋体"/>
                <w:b w:val="0"/>
                <w:bCs w:val="0"/>
                <w:sz w:val="18"/>
                <w:szCs w:val="18"/>
              </w:rPr>
            </w:pPr>
            <w:r>
              <w:rPr>
                <w:rFonts w:hint="eastAsia" w:ascii="宋体" w:hAnsi="宋体" w:cs="宋体"/>
                <w:b w:val="0"/>
                <w:bCs w:val="0"/>
                <w:sz w:val="18"/>
                <w:szCs w:val="18"/>
              </w:rPr>
              <w:t>27.0</w:t>
            </w:r>
          </w:p>
        </w:tc>
      </w:tr>
      <w:tr w14:paraId="473D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tcPr>
          <w:p w14:paraId="3AE774E4">
            <w:pPr>
              <w:jc w:val="center"/>
              <w:rPr>
                <w:rFonts w:ascii="Times New Roman" w:hAnsi="Times New Roman"/>
                <w:b w:val="0"/>
                <w:bCs w:val="0"/>
                <w:sz w:val="18"/>
                <w:szCs w:val="18"/>
              </w:rPr>
            </w:pPr>
            <w:r>
              <w:rPr>
                <w:rFonts w:hint="eastAsia" w:ascii="Times New Roman" w:hAnsi="Times New Roman"/>
                <w:b w:val="0"/>
                <w:bCs w:val="0"/>
                <w:sz w:val="18"/>
                <w:szCs w:val="18"/>
              </w:rPr>
              <w:t>析出晶体</w:t>
            </w:r>
          </w:p>
        </w:tc>
        <w:tc>
          <w:tcPr>
            <w:tcW w:w="2535" w:type="dxa"/>
            <w:gridSpan w:val="4"/>
          </w:tcPr>
          <w:p w14:paraId="22232353">
            <w:pPr>
              <w:jc w:val="center"/>
              <w:rPr>
                <w:rFonts w:ascii="宋体" w:hAnsi="宋体" w:cs="宋体"/>
                <w:b w:val="0"/>
                <w:bCs w:val="0"/>
                <w:sz w:val="18"/>
                <w:szCs w:val="18"/>
              </w:rPr>
            </w:pPr>
            <w:r>
              <w:rPr>
                <w:rFonts w:hint="eastAsia" w:ascii="宋体" w:hAnsi="宋体" w:cs="宋体"/>
                <w:b w:val="0"/>
                <w:bCs w:val="0"/>
                <w:sz w:val="18"/>
                <w:szCs w:val="18"/>
              </w:rPr>
              <w:t>FeSO</w:t>
            </w:r>
            <w:r>
              <w:rPr>
                <w:rFonts w:hint="eastAsia" w:ascii="宋体" w:hAnsi="宋体" w:cs="宋体"/>
                <w:b w:val="0"/>
                <w:bCs w:val="0"/>
                <w:sz w:val="18"/>
                <w:szCs w:val="18"/>
                <w:vertAlign w:val="subscript"/>
              </w:rPr>
              <w:t>4</w:t>
            </w:r>
            <w:r>
              <w:rPr>
                <w:rFonts w:hint="eastAsia" w:ascii="宋体" w:hAnsi="宋体" w:cs="宋体"/>
                <w:b w:val="0"/>
                <w:bCs w:val="0"/>
                <w:sz w:val="18"/>
                <w:szCs w:val="18"/>
              </w:rPr>
              <w:t>·7H</w:t>
            </w:r>
            <w:r>
              <w:rPr>
                <w:rFonts w:hint="eastAsia" w:ascii="宋体" w:hAnsi="宋体" w:cs="宋体"/>
                <w:b w:val="0"/>
                <w:bCs w:val="0"/>
                <w:sz w:val="18"/>
                <w:szCs w:val="18"/>
                <w:vertAlign w:val="subscript"/>
              </w:rPr>
              <w:t>2</w:t>
            </w:r>
            <w:r>
              <w:rPr>
                <w:rFonts w:hint="eastAsia" w:ascii="宋体" w:hAnsi="宋体" w:cs="宋体"/>
                <w:b w:val="0"/>
                <w:bCs w:val="0"/>
                <w:sz w:val="18"/>
                <w:szCs w:val="18"/>
              </w:rPr>
              <w:t>O</w:t>
            </w:r>
          </w:p>
        </w:tc>
        <w:tc>
          <w:tcPr>
            <w:tcW w:w="1830" w:type="dxa"/>
            <w:gridSpan w:val="3"/>
          </w:tcPr>
          <w:p w14:paraId="4D481037">
            <w:pPr>
              <w:jc w:val="center"/>
              <w:rPr>
                <w:rFonts w:ascii="宋体" w:hAnsi="宋体" w:cs="宋体"/>
                <w:b w:val="0"/>
                <w:bCs w:val="0"/>
                <w:sz w:val="18"/>
                <w:szCs w:val="18"/>
              </w:rPr>
            </w:pPr>
            <w:r>
              <w:rPr>
                <w:rFonts w:hint="eastAsia" w:ascii="宋体" w:hAnsi="宋体" w:cs="宋体"/>
                <w:b w:val="0"/>
                <w:bCs w:val="0"/>
                <w:sz w:val="18"/>
                <w:szCs w:val="18"/>
              </w:rPr>
              <w:t>FeSO</w:t>
            </w:r>
            <w:r>
              <w:rPr>
                <w:rFonts w:hint="eastAsia" w:ascii="宋体" w:hAnsi="宋体" w:cs="宋体"/>
                <w:b w:val="0"/>
                <w:bCs w:val="0"/>
                <w:sz w:val="18"/>
                <w:szCs w:val="18"/>
                <w:vertAlign w:val="subscript"/>
              </w:rPr>
              <w:t>4</w:t>
            </w:r>
            <w:r>
              <w:rPr>
                <w:rFonts w:hint="eastAsia" w:ascii="宋体" w:hAnsi="宋体" w:cs="宋体"/>
                <w:b w:val="0"/>
                <w:bCs w:val="0"/>
                <w:sz w:val="18"/>
                <w:szCs w:val="18"/>
              </w:rPr>
              <w:t>·4H</w:t>
            </w:r>
            <w:r>
              <w:rPr>
                <w:rFonts w:hint="eastAsia" w:ascii="宋体" w:hAnsi="宋体" w:cs="宋体"/>
                <w:b w:val="0"/>
                <w:bCs w:val="0"/>
                <w:sz w:val="18"/>
                <w:szCs w:val="18"/>
                <w:vertAlign w:val="subscript"/>
              </w:rPr>
              <w:t>2</w:t>
            </w:r>
            <w:r>
              <w:rPr>
                <w:rFonts w:hint="eastAsia" w:ascii="宋体" w:hAnsi="宋体" w:cs="宋体"/>
                <w:b w:val="0"/>
                <w:bCs w:val="0"/>
                <w:sz w:val="18"/>
                <w:szCs w:val="18"/>
              </w:rPr>
              <w:t>O</w:t>
            </w:r>
          </w:p>
        </w:tc>
        <w:tc>
          <w:tcPr>
            <w:tcW w:w="1875" w:type="dxa"/>
            <w:gridSpan w:val="3"/>
          </w:tcPr>
          <w:p w14:paraId="1DC75065">
            <w:pPr>
              <w:jc w:val="center"/>
              <w:rPr>
                <w:rFonts w:ascii="宋体" w:hAnsi="宋体" w:cs="宋体"/>
                <w:b w:val="0"/>
                <w:bCs w:val="0"/>
                <w:sz w:val="18"/>
                <w:szCs w:val="18"/>
              </w:rPr>
            </w:pPr>
            <w:r>
              <w:rPr>
                <w:rFonts w:hint="eastAsia" w:ascii="宋体" w:hAnsi="宋体" w:cs="宋体"/>
                <w:b w:val="0"/>
                <w:bCs w:val="0"/>
                <w:sz w:val="18"/>
                <w:szCs w:val="18"/>
              </w:rPr>
              <w:t>FeSO</w:t>
            </w:r>
            <w:r>
              <w:rPr>
                <w:rFonts w:hint="eastAsia" w:ascii="宋体" w:hAnsi="宋体" w:cs="宋体"/>
                <w:b w:val="0"/>
                <w:bCs w:val="0"/>
                <w:sz w:val="18"/>
                <w:szCs w:val="18"/>
                <w:vertAlign w:val="subscript"/>
              </w:rPr>
              <w:t>4</w:t>
            </w:r>
            <w:r>
              <w:rPr>
                <w:rFonts w:hint="eastAsia" w:ascii="宋体" w:hAnsi="宋体" w:cs="宋体"/>
                <w:b w:val="0"/>
                <w:bCs w:val="0"/>
                <w:sz w:val="18"/>
                <w:szCs w:val="18"/>
              </w:rPr>
              <w:t>·H</w:t>
            </w:r>
            <w:r>
              <w:rPr>
                <w:rFonts w:hint="eastAsia" w:ascii="宋体" w:hAnsi="宋体" w:cs="宋体"/>
                <w:b w:val="0"/>
                <w:bCs w:val="0"/>
                <w:sz w:val="18"/>
                <w:szCs w:val="18"/>
                <w:vertAlign w:val="subscript"/>
              </w:rPr>
              <w:t>2</w:t>
            </w:r>
            <w:r>
              <w:rPr>
                <w:rFonts w:hint="eastAsia" w:ascii="宋体" w:hAnsi="宋体" w:cs="宋体"/>
                <w:b w:val="0"/>
                <w:bCs w:val="0"/>
                <w:sz w:val="18"/>
                <w:szCs w:val="18"/>
              </w:rPr>
              <w:t>O</w:t>
            </w:r>
          </w:p>
        </w:tc>
      </w:tr>
    </w:tbl>
    <w:p w14:paraId="1A0337DD">
      <w:pPr>
        <w:ind w:firstLine="420" w:firstLineChars="200"/>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en-US" w:eastAsia="zh-CN"/>
        </w:rPr>
        <w:t>资料4</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sz w:val="21"/>
          <w:szCs w:val="21"/>
        </w:rPr>
        <w:t>表</w:t>
      </w:r>
      <w:r>
        <w:rPr>
          <w:rFonts w:hint="eastAsia" w:asciiTheme="minorEastAsia" w:hAnsiTheme="minorEastAsia" w:eastAsiaTheme="minorEastAsia" w:cstheme="minorEastAsia"/>
          <w:b w:val="0"/>
          <w:bCs w:val="0"/>
          <w:sz w:val="21"/>
          <w:szCs w:val="21"/>
          <w:lang w:val="en-US" w:eastAsia="zh-CN"/>
        </w:rPr>
        <w:t>3是</w:t>
      </w:r>
      <w:r>
        <w:rPr>
          <w:rFonts w:hint="eastAsia" w:asciiTheme="minorEastAsia" w:hAnsiTheme="minorEastAsia" w:eastAsiaTheme="minorEastAsia" w:cstheme="minorEastAsia"/>
          <w:b w:val="0"/>
          <w:bCs w:val="0"/>
          <w:sz w:val="21"/>
          <w:szCs w:val="21"/>
        </w:rPr>
        <w:t>铁粉与稀硫酸不同温度下的水浴反应情况</w:t>
      </w:r>
      <w:r>
        <w:rPr>
          <w:rFonts w:hint="eastAsia" w:asciiTheme="minorEastAsia" w:hAnsiTheme="minorEastAsia" w:eastAsiaTheme="minorEastAsia" w:cstheme="minorEastAsia"/>
          <w:b w:val="0"/>
          <w:bCs w:val="0"/>
          <w:sz w:val="21"/>
          <w:szCs w:val="21"/>
          <w:lang w:eastAsia="zh-CN"/>
        </w:rPr>
        <w:t>。</w:t>
      </w:r>
    </w:p>
    <w:p w14:paraId="36C86FBA">
      <w:pPr>
        <w:jc w:val="center"/>
        <w:rPr>
          <w:rFonts w:ascii="黑体" w:hAnsi="黑体" w:eastAsia="黑体" w:cs="黑体"/>
          <w:b w:val="0"/>
          <w:bCs w:val="0"/>
          <w:sz w:val="18"/>
          <w:szCs w:val="18"/>
        </w:rPr>
      </w:pPr>
      <w:r>
        <w:rPr>
          <w:rFonts w:hint="eastAsia" w:ascii="黑体" w:hAnsi="黑体" w:eastAsia="黑体" w:cs="黑体"/>
          <w:b w:val="0"/>
          <w:bCs w:val="0"/>
          <w:sz w:val="18"/>
          <w:szCs w:val="18"/>
        </w:rPr>
        <w:t>表</w:t>
      </w:r>
      <w:r>
        <w:rPr>
          <w:rFonts w:hint="eastAsia" w:ascii="黑体" w:hAnsi="黑体" w:eastAsia="黑体" w:cs="黑体"/>
          <w:b w:val="0"/>
          <w:bCs w:val="0"/>
          <w:sz w:val="18"/>
          <w:szCs w:val="18"/>
          <w:lang w:val="en-US" w:eastAsia="zh-CN"/>
        </w:rPr>
        <w:t xml:space="preserve">3 </w:t>
      </w:r>
      <w:r>
        <w:rPr>
          <w:rFonts w:hint="eastAsia" w:ascii="黑体" w:hAnsi="黑体" w:eastAsia="黑体" w:cs="黑体"/>
          <w:b w:val="0"/>
          <w:bCs w:val="0"/>
          <w:sz w:val="18"/>
          <w:szCs w:val="18"/>
        </w:rPr>
        <w:t xml:space="preserve"> 铁粉与稀硫酸不同温度下的水浴反应情况</w:t>
      </w:r>
      <w:r>
        <w:rPr>
          <w:rFonts w:hint="eastAsia" w:ascii="黑体" w:hAnsi="黑体" w:eastAsia="黑体" w:cs="黑体"/>
          <w:b w:val="0"/>
          <w:bCs w:val="0"/>
          <w:sz w:val="18"/>
          <w:szCs w:val="18"/>
          <w:vertAlign w:val="superscript"/>
        </w:rPr>
        <w:t>[</w:t>
      </w:r>
      <w:r>
        <w:rPr>
          <w:rFonts w:hint="eastAsia" w:ascii="黑体" w:hAnsi="黑体" w:eastAsia="黑体" w:cs="黑体"/>
          <w:b w:val="0"/>
          <w:bCs w:val="0"/>
          <w:sz w:val="18"/>
          <w:szCs w:val="18"/>
          <w:vertAlign w:val="superscript"/>
          <w:lang w:val="en-US" w:eastAsia="zh-CN"/>
        </w:rPr>
        <w:t>10</w:t>
      </w:r>
      <w:r>
        <w:rPr>
          <w:rFonts w:hint="eastAsia" w:ascii="黑体" w:hAnsi="黑体" w:eastAsia="黑体" w:cs="黑体"/>
          <w:b w:val="0"/>
          <w:bCs w:val="0"/>
          <w:sz w:val="18"/>
          <w:szCs w:val="18"/>
          <w:vertAlign w:val="superscript"/>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600"/>
        <w:gridCol w:w="2348"/>
        <w:gridCol w:w="1789"/>
      </w:tblGrid>
      <w:tr w14:paraId="4E7F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7F805E9D">
            <w:pPr>
              <w:jc w:val="center"/>
              <w:rPr>
                <w:rFonts w:ascii="宋体" w:hAnsi="宋体" w:cs="宋体"/>
                <w:b w:val="0"/>
                <w:bCs w:val="0"/>
                <w:sz w:val="18"/>
                <w:szCs w:val="18"/>
              </w:rPr>
            </w:pPr>
            <w:r>
              <w:rPr>
                <w:rFonts w:hint="eastAsia" w:ascii="Times New Roman" w:hAnsi="Times New Roman"/>
                <w:b w:val="0"/>
                <w:bCs w:val="0"/>
                <w:sz w:val="18"/>
                <w:szCs w:val="18"/>
              </w:rPr>
              <w:t>反应</w:t>
            </w:r>
            <w:r>
              <w:rPr>
                <w:rFonts w:ascii="Times New Roman" w:hAnsi="Times New Roman"/>
                <w:b w:val="0"/>
                <w:bCs w:val="0"/>
                <w:sz w:val="18"/>
                <w:szCs w:val="18"/>
              </w:rPr>
              <w:t>温度/</w:t>
            </w:r>
            <w:r>
              <w:rPr>
                <w:rFonts w:hint="eastAsia" w:ascii="宋体" w:hAnsi="宋体" w:cs="宋体"/>
                <w:b w:val="0"/>
                <w:bCs w:val="0"/>
                <w:sz w:val="18"/>
                <w:szCs w:val="18"/>
              </w:rPr>
              <w:t>℃</w:t>
            </w:r>
          </w:p>
        </w:tc>
        <w:tc>
          <w:tcPr>
            <w:tcW w:w="1600" w:type="dxa"/>
          </w:tcPr>
          <w:p w14:paraId="0E755021">
            <w:pPr>
              <w:jc w:val="center"/>
              <w:rPr>
                <w:rFonts w:ascii="宋体" w:hAnsi="宋体" w:cs="宋体"/>
                <w:b w:val="0"/>
                <w:bCs w:val="0"/>
                <w:sz w:val="18"/>
                <w:szCs w:val="18"/>
              </w:rPr>
            </w:pPr>
            <w:r>
              <w:rPr>
                <w:rFonts w:hint="eastAsia" w:ascii="Times New Roman" w:hAnsi="Times New Roman"/>
                <w:b w:val="0"/>
                <w:bCs w:val="0"/>
                <w:sz w:val="18"/>
                <w:szCs w:val="18"/>
              </w:rPr>
              <w:t>反应时间/</w:t>
            </w:r>
            <w:r>
              <w:rPr>
                <w:rFonts w:hint="eastAsia" w:ascii="宋体" w:hAnsi="宋体" w:cs="宋体"/>
                <w:b w:val="0"/>
                <w:bCs w:val="0"/>
                <w:sz w:val="18"/>
                <w:szCs w:val="18"/>
              </w:rPr>
              <w:t>min</w:t>
            </w:r>
          </w:p>
        </w:tc>
        <w:tc>
          <w:tcPr>
            <w:tcW w:w="2348" w:type="dxa"/>
          </w:tcPr>
          <w:p w14:paraId="27102E49">
            <w:pPr>
              <w:jc w:val="center"/>
              <w:rPr>
                <w:rFonts w:ascii="宋体" w:hAnsi="宋体" w:cs="宋体"/>
                <w:b w:val="0"/>
                <w:bCs w:val="0"/>
                <w:sz w:val="18"/>
                <w:szCs w:val="18"/>
              </w:rPr>
            </w:pPr>
            <w:r>
              <w:rPr>
                <w:rFonts w:hint="eastAsia" w:ascii="宋体" w:hAnsi="宋体" w:cs="宋体"/>
                <w:b w:val="0"/>
                <w:bCs w:val="0"/>
                <w:sz w:val="18"/>
                <w:szCs w:val="18"/>
              </w:rPr>
              <w:t>溶液状态</w:t>
            </w:r>
          </w:p>
        </w:tc>
        <w:tc>
          <w:tcPr>
            <w:tcW w:w="1789" w:type="dxa"/>
          </w:tcPr>
          <w:p w14:paraId="532F0620">
            <w:pPr>
              <w:jc w:val="center"/>
              <w:rPr>
                <w:rFonts w:ascii="宋体" w:hAnsi="宋体" w:cs="宋体"/>
                <w:b w:val="0"/>
                <w:bCs w:val="0"/>
                <w:sz w:val="18"/>
                <w:szCs w:val="18"/>
              </w:rPr>
            </w:pPr>
            <w:r>
              <w:rPr>
                <w:rFonts w:hint="eastAsia" w:ascii="宋体" w:hAnsi="宋体" w:cs="宋体"/>
                <w:b w:val="0"/>
                <w:bCs w:val="0"/>
                <w:sz w:val="18"/>
                <w:szCs w:val="18"/>
              </w:rPr>
              <w:t>莫尔盐产率/%</w:t>
            </w:r>
          </w:p>
        </w:tc>
      </w:tr>
      <w:tr w14:paraId="6EC3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7682E50F">
            <w:pPr>
              <w:jc w:val="center"/>
              <w:rPr>
                <w:rFonts w:ascii="宋体" w:hAnsi="宋体" w:cs="宋体"/>
                <w:b w:val="0"/>
                <w:bCs w:val="0"/>
                <w:sz w:val="18"/>
                <w:szCs w:val="18"/>
              </w:rPr>
            </w:pPr>
            <w:r>
              <w:rPr>
                <w:rFonts w:hint="eastAsia" w:ascii="宋体" w:hAnsi="宋体" w:cs="宋体"/>
                <w:b w:val="0"/>
                <w:bCs w:val="0"/>
                <w:sz w:val="18"/>
                <w:szCs w:val="18"/>
              </w:rPr>
              <w:t>55</w:t>
            </w:r>
          </w:p>
        </w:tc>
        <w:tc>
          <w:tcPr>
            <w:tcW w:w="1600" w:type="dxa"/>
          </w:tcPr>
          <w:p w14:paraId="5C15B9DB">
            <w:pPr>
              <w:jc w:val="center"/>
              <w:rPr>
                <w:rFonts w:ascii="宋体" w:hAnsi="宋体" w:cs="宋体"/>
                <w:b w:val="0"/>
                <w:bCs w:val="0"/>
                <w:sz w:val="18"/>
                <w:szCs w:val="18"/>
              </w:rPr>
            </w:pPr>
            <w:r>
              <w:rPr>
                <w:rFonts w:hint="eastAsia" w:ascii="宋体" w:hAnsi="宋体" w:cs="宋体"/>
                <w:b w:val="0"/>
                <w:bCs w:val="0"/>
                <w:sz w:val="18"/>
                <w:szCs w:val="18"/>
              </w:rPr>
              <w:t>60</w:t>
            </w:r>
          </w:p>
        </w:tc>
        <w:tc>
          <w:tcPr>
            <w:tcW w:w="2348" w:type="dxa"/>
          </w:tcPr>
          <w:p w14:paraId="378D7545">
            <w:pPr>
              <w:jc w:val="center"/>
              <w:rPr>
                <w:rFonts w:ascii="宋体" w:hAnsi="宋体" w:cs="宋体"/>
                <w:b w:val="0"/>
                <w:bCs w:val="0"/>
                <w:sz w:val="18"/>
                <w:szCs w:val="18"/>
              </w:rPr>
            </w:pPr>
            <w:r>
              <w:rPr>
                <w:rFonts w:hint="eastAsia" w:ascii="宋体" w:hAnsi="宋体" w:cs="宋体"/>
                <w:b w:val="0"/>
                <w:bCs w:val="0"/>
                <w:sz w:val="18"/>
                <w:szCs w:val="18"/>
              </w:rPr>
              <w:t>浅绿色、无晶体析出</w:t>
            </w:r>
          </w:p>
        </w:tc>
        <w:tc>
          <w:tcPr>
            <w:tcW w:w="1789" w:type="dxa"/>
          </w:tcPr>
          <w:p w14:paraId="58A09403">
            <w:pPr>
              <w:jc w:val="center"/>
              <w:rPr>
                <w:rFonts w:ascii="宋体" w:hAnsi="宋体" w:cs="宋体"/>
                <w:b w:val="0"/>
                <w:bCs w:val="0"/>
                <w:sz w:val="18"/>
                <w:szCs w:val="18"/>
              </w:rPr>
            </w:pPr>
            <w:r>
              <w:rPr>
                <w:rFonts w:hint="eastAsia" w:ascii="宋体" w:hAnsi="宋体" w:cs="宋体"/>
                <w:b w:val="0"/>
                <w:bCs w:val="0"/>
                <w:sz w:val="18"/>
                <w:szCs w:val="18"/>
              </w:rPr>
              <w:t>93.8</w:t>
            </w:r>
          </w:p>
        </w:tc>
      </w:tr>
      <w:tr w14:paraId="67D8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5B8196E6">
            <w:pPr>
              <w:jc w:val="center"/>
              <w:rPr>
                <w:rFonts w:ascii="宋体" w:hAnsi="宋体" w:cs="宋体"/>
                <w:b w:val="0"/>
                <w:bCs w:val="0"/>
                <w:sz w:val="18"/>
                <w:szCs w:val="18"/>
              </w:rPr>
            </w:pPr>
            <w:r>
              <w:rPr>
                <w:rFonts w:hint="eastAsia" w:ascii="宋体" w:hAnsi="宋体" w:cs="宋体"/>
                <w:b w:val="0"/>
                <w:bCs w:val="0"/>
                <w:sz w:val="18"/>
                <w:szCs w:val="18"/>
              </w:rPr>
              <w:t>65</w:t>
            </w:r>
          </w:p>
        </w:tc>
        <w:tc>
          <w:tcPr>
            <w:tcW w:w="1600" w:type="dxa"/>
          </w:tcPr>
          <w:p w14:paraId="7E0A1A58">
            <w:pPr>
              <w:jc w:val="center"/>
              <w:rPr>
                <w:rFonts w:ascii="宋体" w:hAnsi="宋体" w:cs="宋体"/>
                <w:b w:val="0"/>
                <w:bCs w:val="0"/>
                <w:sz w:val="18"/>
                <w:szCs w:val="18"/>
              </w:rPr>
            </w:pPr>
            <w:r>
              <w:rPr>
                <w:rFonts w:hint="eastAsia" w:ascii="宋体" w:hAnsi="宋体" w:cs="宋体"/>
                <w:b w:val="0"/>
                <w:bCs w:val="0"/>
                <w:sz w:val="18"/>
                <w:szCs w:val="18"/>
              </w:rPr>
              <w:t>50</w:t>
            </w:r>
          </w:p>
        </w:tc>
        <w:tc>
          <w:tcPr>
            <w:tcW w:w="2348" w:type="dxa"/>
          </w:tcPr>
          <w:p w14:paraId="736A9E30">
            <w:pPr>
              <w:jc w:val="center"/>
              <w:rPr>
                <w:rFonts w:ascii="宋体" w:hAnsi="宋体" w:cs="宋体"/>
                <w:b w:val="0"/>
                <w:bCs w:val="0"/>
                <w:sz w:val="18"/>
                <w:szCs w:val="18"/>
              </w:rPr>
            </w:pPr>
            <w:r>
              <w:rPr>
                <w:rFonts w:hint="eastAsia" w:ascii="宋体" w:hAnsi="宋体" w:cs="宋体"/>
                <w:b w:val="0"/>
                <w:bCs w:val="0"/>
                <w:sz w:val="18"/>
                <w:szCs w:val="18"/>
              </w:rPr>
              <w:t>浅绿色、无晶体析出</w:t>
            </w:r>
          </w:p>
        </w:tc>
        <w:tc>
          <w:tcPr>
            <w:tcW w:w="1789" w:type="dxa"/>
          </w:tcPr>
          <w:p w14:paraId="799EDFCF">
            <w:pPr>
              <w:jc w:val="center"/>
              <w:rPr>
                <w:rFonts w:ascii="宋体" w:hAnsi="宋体" w:cs="宋体"/>
                <w:b w:val="0"/>
                <w:bCs w:val="0"/>
                <w:sz w:val="18"/>
                <w:szCs w:val="18"/>
              </w:rPr>
            </w:pPr>
            <w:r>
              <w:rPr>
                <w:rFonts w:hint="eastAsia" w:ascii="宋体" w:hAnsi="宋体" w:cs="宋体"/>
                <w:b w:val="0"/>
                <w:bCs w:val="0"/>
                <w:sz w:val="18"/>
                <w:szCs w:val="18"/>
              </w:rPr>
              <w:t>94.8</w:t>
            </w:r>
          </w:p>
        </w:tc>
      </w:tr>
      <w:tr w14:paraId="0BC6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09152FD4">
            <w:pPr>
              <w:jc w:val="center"/>
              <w:rPr>
                <w:rFonts w:ascii="宋体" w:hAnsi="宋体" w:cs="宋体"/>
                <w:b w:val="0"/>
                <w:bCs w:val="0"/>
                <w:sz w:val="18"/>
                <w:szCs w:val="18"/>
              </w:rPr>
            </w:pPr>
            <w:r>
              <w:rPr>
                <w:rFonts w:hint="eastAsia" w:ascii="宋体" w:hAnsi="宋体" w:cs="宋体"/>
                <w:b w:val="0"/>
                <w:bCs w:val="0"/>
                <w:sz w:val="18"/>
                <w:szCs w:val="18"/>
              </w:rPr>
              <w:t>75</w:t>
            </w:r>
          </w:p>
        </w:tc>
        <w:tc>
          <w:tcPr>
            <w:tcW w:w="1600" w:type="dxa"/>
          </w:tcPr>
          <w:p w14:paraId="0E139831">
            <w:pPr>
              <w:jc w:val="center"/>
              <w:rPr>
                <w:rFonts w:ascii="宋体" w:hAnsi="宋体" w:cs="宋体"/>
                <w:b w:val="0"/>
                <w:bCs w:val="0"/>
                <w:sz w:val="18"/>
                <w:szCs w:val="18"/>
              </w:rPr>
            </w:pPr>
            <w:r>
              <w:rPr>
                <w:rFonts w:hint="eastAsia" w:ascii="宋体" w:hAnsi="宋体" w:cs="宋体"/>
                <w:b w:val="0"/>
                <w:bCs w:val="0"/>
                <w:sz w:val="18"/>
                <w:szCs w:val="18"/>
              </w:rPr>
              <w:t>40</w:t>
            </w:r>
          </w:p>
        </w:tc>
        <w:tc>
          <w:tcPr>
            <w:tcW w:w="2348" w:type="dxa"/>
          </w:tcPr>
          <w:p w14:paraId="102E5346">
            <w:pPr>
              <w:jc w:val="center"/>
              <w:rPr>
                <w:rFonts w:ascii="宋体" w:hAnsi="宋体" w:cs="宋体"/>
                <w:b w:val="0"/>
                <w:bCs w:val="0"/>
                <w:sz w:val="18"/>
                <w:szCs w:val="18"/>
              </w:rPr>
            </w:pPr>
            <w:r>
              <w:rPr>
                <w:rFonts w:hint="eastAsia" w:ascii="宋体" w:hAnsi="宋体" w:cs="宋体"/>
                <w:b w:val="0"/>
                <w:bCs w:val="0"/>
                <w:sz w:val="18"/>
                <w:szCs w:val="18"/>
              </w:rPr>
              <w:t>浅绿色、无晶体析出</w:t>
            </w:r>
          </w:p>
        </w:tc>
        <w:tc>
          <w:tcPr>
            <w:tcW w:w="1789" w:type="dxa"/>
          </w:tcPr>
          <w:p w14:paraId="36512928">
            <w:pPr>
              <w:jc w:val="center"/>
              <w:rPr>
                <w:rFonts w:ascii="宋体" w:hAnsi="宋体" w:cs="宋体"/>
                <w:b w:val="0"/>
                <w:bCs w:val="0"/>
                <w:sz w:val="18"/>
                <w:szCs w:val="18"/>
              </w:rPr>
            </w:pPr>
            <w:r>
              <w:rPr>
                <w:rFonts w:hint="eastAsia" w:ascii="宋体" w:hAnsi="宋体" w:cs="宋体"/>
                <w:b w:val="0"/>
                <w:bCs w:val="0"/>
                <w:sz w:val="18"/>
                <w:szCs w:val="18"/>
              </w:rPr>
              <w:t>94.1</w:t>
            </w:r>
          </w:p>
        </w:tc>
      </w:tr>
      <w:tr w14:paraId="752B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2814E3A8">
            <w:pPr>
              <w:jc w:val="center"/>
              <w:rPr>
                <w:rFonts w:ascii="宋体" w:hAnsi="宋体" w:cs="宋体"/>
                <w:b w:val="0"/>
                <w:bCs w:val="0"/>
                <w:sz w:val="18"/>
                <w:szCs w:val="18"/>
              </w:rPr>
            </w:pPr>
            <w:r>
              <w:rPr>
                <w:rFonts w:hint="eastAsia" w:ascii="宋体" w:hAnsi="宋体" w:cs="宋体"/>
                <w:b w:val="0"/>
                <w:bCs w:val="0"/>
                <w:sz w:val="18"/>
                <w:szCs w:val="18"/>
              </w:rPr>
              <w:t>85</w:t>
            </w:r>
          </w:p>
        </w:tc>
        <w:tc>
          <w:tcPr>
            <w:tcW w:w="1600" w:type="dxa"/>
          </w:tcPr>
          <w:p w14:paraId="00632E4D">
            <w:pPr>
              <w:jc w:val="center"/>
              <w:rPr>
                <w:rFonts w:ascii="宋体" w:hAnsi="宋体" w:cs="宋体"/>
                <w:b w:val="0"/>
                <w:bCs w:val="0"/>
                <w:sz w:val="18"/>
                <w:szCs w:val="18"/>
              </w:rPr>
            </w:pPr>
            <w:r>
              <w:rPr>
                <w:rFonts w:hint="eastAsia" w:ascii="宋体" w:hAnsi="宋体" w:cs="宋体"/>
                <w:b w:val="0"/>
                <w:bCs w:val="0"/>
                <w:sz w:val="18"/>
                <w:szCs w:val="18"/>
              </w:rPr>
              <w:t>20</w:t>
            </w:r>
          </w:p>
        </w:tc>
        <w:tc>
          <w:tcPr>
            <w:tcW w:w="2348" w:type="dxa"/>
          </w:tcPr>
          <w:p w14:paraId="4E9AABC2">
            <w:pPr>
              <w:jc w:val="center"/>
              <w:rPr>
                <w:rFonts w:ascii="宋体" w:hAnsi="宋体" w:cs="宋体"/>
                <w:b w:val="0"/>
                <w:bCs w:val="0"/>
                <w:sz w:val="18"/>
                <w:szCs w:val="18"/>
              </w:rPr>
            </w:pPr>
            <w:r>
              <w:rPr>
                <w:rFonts w:hint="eastAsia" w:ascii="宋体" w:hAnsi="宋体" w:cs="宋体"/>
                <w:b w:val="0"/>
                <w:bCs w:val="0"/>
                <w:sz w:val="18"/>
                <w:szCs w:val="18"/>
              </w:rPr>
              <w:t>浅绿色、有晶体析出</w:t>
            </w:r>
          </w:p>
        </w:tc>
        <w:tc>
          <w:tcPr>
            <w:tcW w:w="1789" w:type="dxa"/>
          </w:tcPr>
          <w:p w14:paraId="49035F2D">
            <w:pPr>
              <w:jc w:val="center"/>
              <w:rPr>
                <w:rFonts w:ascii="宋体" w:hAnsi="宋体" w:cs="宋体"/>
                <w:b w:val="0"/>
                <w:bCs w:val="0"/>
                <w:sz w:val="18"/>
                <w:szCs w:val="18"/>
              </w:rPr>
            </w:pPr>
            <w:r>
              <w:rPr>
                <w:rFonts w:hint="eastAsia" w:ascii="宋体" w:hAnsi="宋体" w:cs="宋体"/>
                <w:b w:val="0"/>
                <w:bCs w:val="0"/>
                <w:sz w:val="18"/>
                <w:szCs w:val="18"/>
              </w:rPr>
              <w:t>75.6</w:t>
            </w:r>
          </w:p>
        </w:tc>
      </w:tr>
      <w:tr w14:paraId="5758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tcPr>
          <w:p w14:paraId="338142E2">
            <w:pPr>
              <w:jc w:val="center"/>
              <w:rPr>
                <w:rFonts w:ascii="宋体" w:hAnsi="宋体" w:cs="宋体"/>
                <w:b w:val="0"/>
                <w:bCs w:val="0"/>
                <w:sz w:val="18"/>
                <w:szCs w:val="18"/>
              </w:rPr>
            </w:pPr>
            <w:r>
              <w:rPr>
                <w:rFonts w:hint="eastAsia" w:ascii="宋体" w:hAnsi="宋体" w:cs="宋体"/>
                <w:b w:val="0"/>
                <w:bCs w:val="0"/>
                <w:sz w:val="18"/>
                <w:szCs w:val="18"/>
              </w:rPr>
              <w:t>95</w:t>
            </w:r>
          </w:p>
        </w:tc>
        <w:tc>
          <w:tcPr>
            <w:tcW w:w="1600" w:type="dxa"/>
          </w:tcPr>
          <w:p w14:paraId="2C43E1B7">
            <w:pPr>
              <w:jc w:val="center"/>
              <w:rPr>
                <w:rFonts w:ascii="宋体" w:hAnsi="宋体" w:cs="宋体"/>
                <w:b w:val="0"/>
                <w:bCs w:val="0"/>
                <w:sz w:val="18"/>
                <w:szCs w:val="18"/>
              </w:rPr>
            </w:pPr>
            <w:r>
              <w:rPr>
                <w:rFonts w:hint="eastAsia" w:ascii="宋体" w:hAnsi="宋体" w:cs="宋体"/>
                <w:b w:val="0"/>
                <w:bCs w:val="0"/>
                <w:sz w:val="18"/>
                <w:szCs w:val="18"/>
              </w:rPr>
              <w:t>10</w:t>
            </w:r>
          </w:p>
        </w:tc>
        <w:tc>
          <w:tcPr>
            <w:tcW w:w="2348" w:type="dxa"/>
          </w:tcPr>
          <w:p w14:paraId="328B060D">
            <w:pPr>
              <w:jc w:val="center"/>
              <w:rPr>
                <w:rFonts w:ascii="宋体" w:hAnsi="宋体" w:cs="宋体"/>
                <w:b w:val="0"/>
                <w:bCs w:val="0"/>
                <w:sz w:val="18"/>
                <w:szCs w:val="18"/>
              </w:rPr>
            </w:pPr>
            <w:r>
              <w:rPr>
                <w:rFonts w:hint="eastAsia" w:ascii="宋体" w:hAnsi="宋体" w:cs="宋体"/>
                <w:b w:val="0"/>
                <w:bCs w:val="0"/>
                <w:sz w:val="18"/>
                <w:szCs w:val="18"/>
              </w:rPr>
              <w:t>黄绿色、有晶体析出</w:t>
            </w:r>
          </w:p>
        </w:tc>
        <w:tc>
          <w:tcPr>
            <w:tcW w:w="1789" w:type="dxa"/>
          </w:tcPr>
          <w:p w14:paraId="27C3074B">
            <w:pPr>
              <w:jc w:val="center"/>
              <w:rPr>
                <w:rFonts w:ascii="宋体" w:hAnsi="宋体" w:cs="宋体"/>
                <w:b w:val="0"/>
                <w:bCs w:val="0"/>
                <w:sz w:val="18"/>
                <w:szCs w:val="18"/>
              </w:rPr>
            </w:pPr>
            <w:r>
              <w:rPr>
                <w:rFonts w:hint="eastAsia" w:ascii="宋体" w:hAnsi="宋体" w:cs="宋体"/>
                <w:b w:val="0"/>
                <w:bCs w:val="0"/>
                <w:sz w:val="18"/>
                <w:szCs w:val="18"/>
              </w:rPr>
              <w:t>54.8</w:t>
            </w:r>
          </w:p>
        </w:tc>
      </w:tr>
    </w:tbl>
    <w:p w14:paraId="455756E8">
      <w:pPr>
        <w:ind w:firstLine="420" w:firstLineChars="200"/>
        <w:rPr>
          <w:rFonts w:hint="eastAsia" w:ascii="宋体" w:hAnsi="宋体" w:cs="宋体"/>
          <w:b w:val="0"/>
          <w:bCs w:val="0"/>
        </w:rPr>
      </w:pPr>
      <w:r>
        <w:rPr>
          <w:b w:val="0"/>
          <w:bCs w:val="0"/>
        </w:rPr>
        <w:t>［</w:t>
      </w:r>
      <w:r>
        <w:rPr>
          <w:rFonts w:hint="eastAsia"/>
          <w:b w:val="0"/>
          <w:bCs w:val="0"/>
          <w:lang w:val="en-US" w:eastAsia="zh-CN"/>
        </w:rPr>
        <w:t>活动</w:t>
      </w:r>
      <w:r>
        <w:rPr>
          <w:rFonts w:hint="eastAsia" w:asciiTheme="minorEastAsia" w:hAnsiTheme="minorEastAsia" w:eastAsiaTheme="minorEastAsia" w:cstheme="minorEastAsia"/>
          <w:b w:val="0"/>
          <w:bCs w:val="0"/>
          <w:lang w:val="en-US" w:eastAsia="zh-CN"/>
        </w:rPr>
        <w:t>3</w:t>
      </w:r>
      <w:r>
        <w:rPr>
          <w:b w:val="0"/>
          <w:bCs w:val="0"/>
        </w:rPr>
        <w:t>］</w:t>
      </w:r>
      <w:r>
        <w:rPr>
          <w:rFonts w:hint="eastAsia"/>
          <w:b w:val="0"/>
          <w:bCs w:val="0"/>
          <w:lang w:val="en-US" w:eastAsia="zh-CN"/>
        </w:rPr>
        <w:t>控温原因分析。</w:t>
      </w:r>
    </w:p>
    <w:p w14:paraId="7EAC7AAA">
      <w:pPr>
        <w:ind w:firstLine="420" w:firstLineChars="200"/>
        <w:rPr>
          <w:b w:val="0"/>
          <w:bCs w:val="0"/>
        </w:rPr>
      </w:pPr>
      <w:r>
        <w:rPr>
          <w:b w:val="0"/>
          <w:bCs w:val="0"/>
        </w:rPr>
        <w:t>［</w:t>
      </w:r>
      <w:r>
        <w:rPr>
          <w:rFonts w:hint="eastAsia"/>
          <w:b w:val="0"/>
          <w:bCs w:val="0"/>
        </w:rPr>
        <w:t>问题</w:t>
      </w:r>
      <w:r>
        <w:rPr>
          <w:rFonts w:hint="eastAsia" w:asciiTheme="minorEastAsia" w:hAnsiTheme="minorEastAsia" w:eastAsiaTheme="minorEastAsia" w:cstheme="minorEastAsia"/>
          <w:b w:val="0"/>
          <w:bCs w:val="0"/>
          <w:lang w:val="en-US" w:eastAsia="zh-CN"/>
        </w:rPr>
        <w:t>3</w:t>
      </w:r>
      <w:r>
        <w:rPr>
          <w:b w:val="0"/>
          <w:bCs w:val="0"/>
        </w:rPr>
        <w:t>］</w:t>
      </w:r>
      <w:r>
        <w:rPr>
          <w:rFonts w:hint="eastAsia"/>
          <w:b w:val="0"/>
          <w:bCs w:val="0"/>
          <w:lang w:val="en-US" w:eastAsia="zh-CN"/>
        </w:rPr>
        <w:t>结合</w:t>
      </w:r>
      <w:r>
        <w:rPr>
          <w:rFonts w:hint="eastAsia" w:ascii="宋体" w:hAnsi="宋体" w:cs="宋体"/>
          <w:b w:val="0"/>
          <w:bCs w:val="0"/>
        </w:rPr>
        <w:t>表</w:t>
      </w:r>
      <w:r>
        <w:rPr>
          <w:rFonts w:hint="eastAsia" w:ascii="宋体" w:hAnsi="宋体" w:cs="宋体"/>
          <w:b w:val="0"/>
          <w:bCs w:val="0"/>
          <w:lang w:val="en-US" w:eastAsia="zh-CN"/>
        </w:rPr>
        <w:t>2</w:t>
      </w:r>
      <w:r>
        <w:rPr>
          <w:rFonts w:hint="eastAsia" w:ascii="宋体" w:hAnsi="宋体" w:cs="宋体"/>
          <w:b w:val="0"/>
          <w:bCs w:val="0"/>
        </w:rPr>
        <w:t>和表</w:t>
      </w:r>
      <w:r>
        <w:rPr>
          <w:rFonts w:hint="eastAsia" w:ascii="宋体" w:hAnsi="宋体" w:cs="宋体"/>
          <w:b w:val="0"/>
          <w:bCs w:val="0"/>
          <w:lang w:val="en-US" w:eastAsia="zh-CN"/>
        </w:rPr>
        <w:t>3分析，</w:t>
      </w:r>
      <w:r>
        <w:rPr>
          <w:rFonts w:hint="eastAsia"/>
          <w:b w:val="0"/>
          <w:bCs w:val="0"/>
          <w:szCs w:val="21"/>
        </w:rPr>
        <w:t>铁粉与稀硫酸反应时，为何要水浴加热？铁粉与稀硫酸反应时能否用酒精灯直接加热代替水浴加热？水浴加热的温度应</w:t>
      </w:r>
      <w:r>
        <w:rPr>
          <w:rFonts w:hint="eastAsia" w:ascii="宋体" w:hAnsi="宋体" w:cs="宋体"/>
          <w:b w:val="0"/>
          <w:bCs w:val="0"/>
          <w:szCs w:val="21"/>
        </w:rPr>
        <w:t>控制在多少℃较合适？</w:t>
      </w:r>
    </w:p>
    <w:p w14:paraId="50FFEB1A">
      <w:pPr>
        <w:ind w:firstLine="420" w:firstLineChars="200"/>
        <w:rPr>
          <w:rFonts w:ascii="Times New Roman" w:hAnsi="Times New Roman"/>
          <w:b w:val="0"/>
          <w:bCs w:val="0"/>
        </w:rPr>
      </w:pPr>
      <w:r>
        <w:rPr>
          <w:b w:val="0"/>
          <w:bCs w:val="0"/>
        </w:rPr>
        <w:t>［</w:t>
      </w:r>
      <w:r>
        <w:rPr>
          <w:rFonts w:hint="eastAsia"/>
          <w:b w:val="0"/>
          <w:bCs w:val="0"/>
        </w:rPr>
        <w:t>学生活动表现</w:t>
      </w:r>
      <w:r>
        <w:rPr>
          <w:b w:val="0"/>
          <w:bCs w:val="0"/>
        </w:rPr>
        <w:t>］</w:t>
      </w:r>
      <w:r>
        <w:rPr>
          <w:rFonts w:hint="eastAsia"/>
          <w:b w:val="0"/>
          <w:bCs w:val="0"/>
        </w:rPr>
        <w:t>学生能很快想到水浴加热的目的是</w:t>
      </w:r>
      <w:r>
        <w:rPr>
          <w:rFonts w:hint="eastAsia" w:ascii="宋体" w:hAnsi="宋体" w:cs="宋体"/>
          <w:b w:val="0"/>
          <w:bCs w:val="0"/>
        </w:rPr>
        <w:t>加快反应速率，并使反应更充分。在引导学生分析表</w:t>
      </w:r>
      <w:r>
        <w:rPr>
          <w:rFonts w:hint="eastAsia" w:ascii="宋体" w:hAnsi="宋体" w:cs="宋体"/>
          <w:b w:val="0"/>
          <w:bCs w:val="0"/>
          <w:lang w:val="en-US" w:eastAsia="zh-CN"/>
        </w:rPr>
        <w:t>2</w:t>
      </w:r>
      <w:r>
        <w:rPr>
          <w:rFonts w:hint="eastAsia" w:ascii="宋体" w:hAnsi="宋体" w:cs="宋体"/>
          <w:b w:val="0"/>
          <w:bCs w:val="0"/>
        </w:rPr>
        <w:t>和表</w:t>
      </w:r>
      <w:r>
        <w:rPr>
          <w:rFonts w:hint="eastAsia" w:ascii="宋体" w:hAnsi="宋体" w:cs="宋体"/>
          <w:b w:val="0"/>
          <w:bCs w:val="0"/>
          <w:lang w:val="en-US" w:eastAsia="zh-CN"/>
        </w:rPr>
        <w:t>3</w:t>
      </w:r>
      <w:r>
        <w:rPr>
          <w:rFonts w:hint="eastAsia" w:ascii="宋体" w:hAnsi="宋体" w:cs="宋体"/>
          <w:b w:val="0"/>
          <w:bCs w:val="0"/>
        </w:rPr>
        <w:t>后，大部分学生能想到不用酒精灯直接加热的原因是温度过高，</w:t>
      </w:r>
      <w:r>
        <w:rPr>
          <w:rFonts w:hint="eastAsia" w:ascii="Times New Roman" w:hAnsi="Times New Roman"/>
          <w:b w:val="0"/>
          <w:bCs w:val="0"/>
        </w:rPr>
        <w:t>硫酸亚铁的溶解度会降低，导致留在滤液中的硫酸亚铁质量变少，使莫尔盐产率降低；为了保证滤液中含有较多的硫酸亚铁，</w:t>
      </w:r>
      <w:r>
        <w:rPr>
          <w:rFonts w:ascii="Times New Roman" w:hAnsi="Times New Roman"/>
          <w:b w:val="0"/>
          <w:bCs w:val="0"/>
        </w:rPr>
        <w:t>水浴加热的温度应控制在</w:t>
      </w:r>
      <w:r>
        <w:rPr>
          <w:rFonts w:hint="eastAsia" w:ascii="宋体" w:hAnsi="宋体" w:cs="宋体"/>
          <w:b w:val="0"/>
          <w:bCs w:val="0"/>
        </w:rPr>
        <w:t>64</w:t>
      </w:r>
      <w:r>
        <w:rPr>
          <w:rFonts w:hint="eastAsia" w:ascii="宋体" w:hAnsi="宋体" w:cs="宋体"/>
          <w:b w:val="0"/>
          <w:bCs w:val="0"/>
          <w:szCs w:val="21"/>
        </w:rPr>
        <w:t>℃</w:t>
      </w:r>
      <w:r>
        <w:rPr>
          <w:rFonts w:hint="eastAsia" w:ascii="宋体" w:hAnsi="宋体" w:cs="宋体"/>
          <w:b w:val="0"/>
          <w:bCs w:val="0"/>
        </w:rPr>
        <w:t>或65</w:t>
      </w:r>
      <w:r>
        <w:rPr>
          <w:rFonts w:hint="eastAsia" w:ascii="宋体" w:hAnsi="宋体" w:cs="宋体"/>
          <w:b w:val="0"/>
          <w:bCs w:val="0"/>
          <w:szCs w:val="21"/>
        </w:rPr>
        <w:t>℃</w:t>
      </w:r>
      <w:r>
        <w:rPr>
          <w:rFonts w:ascii="Times New Roman" w:hAnsi="Times New Roman"/>
          <w:b w:val="0"/>
          <w:bCs w:val="0"/>
        </w:rPr>
        <w:t>左右较合适。</w:t>
      </w:r>
    </w:p>
    <w:p w14:paraId="0FACE177">
      <w:pPr>
        <w:ind w:firstLine="420" w:firstLineChars="200"/>
        <w:rPr>
          <w:rFonts w:hint="default" w:ascii="Times New Roman" w:hAnsi="Times New Roman" w:eastAsia="楷体"/>
          <w:b w:val="0"/>
          <w:bCs w:val="0"/>
          <w:lang w:val="en-US" w:eastAsia="zh-CN"/>
        </w:rPr>
      </w:pPr>
      <w:r>
        <w:rPr>
          <w:rFonts w:hint="eastAsia" w:ascii="楷体" w:hAnsi="楷体" w:eastAsia="楷体" w:cs="楷体"/>
          <w:b w:val="0"/>
          <w:bCs w:val="0"/>
          <w:lang w:val="en-US" w:eastAsia="zh-CN"/>
        </w:rPr>
        <w:t>设计意图：通过对控温原因的分析，不仅可以培养学生自主提取和加工信息的能力，还能让他们认识到“在实际生产中，</w:t>
      </w:r>
      <w:r>
        <w:rPr>
          <w:rFonts w:hint="eastAsia" w:ascii="楷体" w:hAnsi="楷体" w:eastAsia="楷体" w:cs="楷体"/>
          <w:sz w:val="21"/>
          <w:szCs w:val="21"/>
        </w:rPr>
        <w:t>通过化学反应实现物质转化</w:t>
      </w:r>
      <w:r>
        <w:rPr>
          <w:rFonts w:hint="eastAsia" w:ascii="楷体" w:hAnsi="楷体" w:eastAsia="楷体" w:cs="楷体"/>
          <w:sz w:val="21"/>
          <w:szCs w:val="21"/>
          <w:lang w:val="en-US" w:eastAsia="zh-CN"/>
        </w:rPr>
        <w:t>需要一定条件</w:t>
      </w:r>
      <w:r>
        <w:rPr>
          <w:rFonts w:hint="eastAsia" w:ascii="楷体" w:hAnsi="楷体" w:eastAsia="楷体" w:cs="楷体"/>
          <w:b w:val="0"/>
          <w:bCs w:val="0"/>
          <w:lang w:val="en-US" w:eastAsia="zh-CN"/>
        </w:rPr>
        <w:t>”，且物质的性质是条件控制的重要依据之一，直接影响产品产率。</w:t>
      </w:r>
    </w:p>
    <w:p w14:paraId="237A5A9E">
      <w:pPr>
        <w:ind w:firstLine="420" w:firstLineChars="200"/>
        <w:rPr>
          <w:rFonts w:hint="eastAsia" w:ascii="宋体" w:hAnsi="宋体" w:cs="宋体"/>
          <w:b w:val="0"/>
          <w:bCs w:val="0"/>
          <w:lang w:val="en-US" w:eastAsia="zh-CN"/>
        </w:rPr>
      </w:pPr>
      <w:r>
        <w:rPr>
          <w:rFonts w:hint="eastAsia" w:asciiTheme="majorEastAsia" w:hAnsiTheme="majorEastAsia" w:eastAsiaTheme="majorEastAsia" w:cstheme="majorEastAsia"/>
          <w:b w:val="0"/>
          <w:bCs w:val="0"/>
          <w:lang w:val="en-US" w:eastAsia="zh-CN"/>
        </w:rPr>
        <w:t xml:space="preserve">5.4 </w:t>
      </w:r>
      <w:r>
        <w:rPr>
          <w:rFonts w:hint="eastAsia" w:ascii="宋体" w:hAnsi="宋体" w:eastAsia="宋体" w:cs="宋体"/>
          <w:b w:val="0"/>
          <w:bCs w:val="0"/>
          <w:lang w:val="en-US" w:eastAsia="zh-CN"/>
        </w:rPr>
        <w:t>任务</w:t>
      </w:r>
      <w:r>
        <w:rPr>
          <w:rFonts w:hint="eastAsia" w:ascii="宋体" w:hAnsi="宋体" w:cs="宋体"/>
          <w:b w:val="0"/>
          <w:bCs w:val="0"/>
          <w:lang w:val="en-US" w:eastAsia="zh-CN"/>
        </w:rPr>
        <w:t>3</w:t>
      </w:r>
      <w:r>
        <w:rPr>
          <w:rFonts w:hint="eastAsia" w:ascii="宋体" w:hAnsi="宋体" w:eastAsia="宋体" w:cs="宋体"/>
          <w:b w:val="0"/>
          <w:bCs w:val="0"/>
          <w:lang w:val="en-US" w:eastAsia="zh-CN"/>
        </w:rPr>
        <w:t xml:space="preserve"> </w:t>
      </w:r>
      <w:r>
        <w:rPr>
          <w:rFonts w:hint="eastAsia" w:ascii="宋体" w:hAnsi="宋体" w:cs="宋体"/>
          <w:b w:val="0"/>
          <w:bCs w:val="0"/>
          <w:lang w:val="en-US" w:eastAsia="zh-CN"/>
        </w:rPr>
        <w:t>制备过程中的操作选择</w:t>
      </w:r>
    </w:p>
    <w:p w14:paraId="09A5AFB8">
      <w:pPr>
        <w:ind w:firstLine="420" w:firstLineChars="200"/>
        <w:rPr>
          <w:rFonts w:hint="eastAsia" w:ascii="宋体" w:hAnsi="宋体" w:cs="宋体"/>
          <w:b w:val="0"/>
          <w:bCs w:val="0"/>
          <w:lang w:val="en-US" w:eastAsia="zh-CN"/>
        </w:rPr>
      </w:pPr>
      <w:r>
        <w:rPr>
          <w:b w:val="0"/>
          <w:bCs w:val="0"/>
        </w:rPr>
        <w:t>［</w:t>
      </w:r>
      <w:r>
        <w:rPr>
          <w:rFonts w:hint="eastAsia"/>
          <w:b w:val="0"/>
          <w:bCs w:val="0"/>
          <w:lang w:val="en-US" w:eastAsia="zh-CN"/>
        </w:rPr>
        <w:t>活动</w:t>
      </w:r>
      <w:r>
        <w:rPr>
          <w:rFonts w:hint="eastAsia" w:asciiTheme="minorEastAsia" w:hAnsiTheme="minorEastAsia" w:eastAsiaTheme="minorEastAsia" w:cstheme="minorEastAsia"/>
          <w:b w:val="0"/>
          <w:bCs w:val="0"/>
          <w:lang w:val="en-US" w:eastAsia="zh-CN"/>
        </w:rPr>
        <w:t>4</w:t>
      </w:r>
      <w:r>
        <w:rPr>
          <w:b w:val="0"/>
          <w:bCs w:val="0"/>
        </w:rPr>
        <w:t>］</w:t>
      </w:r>
      <w:r>
        <w:rPr>
          <w:rFonts w:hint="eastAsia"/>
          <w:b w:val="0"/>
          <w:bCs w:val="0"/>
          <w:lang w:val="en-US" w:eastAsia="zh-CN"/>
        </w:rPr>
        <w:t>选择趁热过滤、结晶方法及洗涤试剂的依据。</w:t>
      </w:r>
    </w:p>
    <w:p w14:paraId="78233843">
      <w:pPr>
        <w:ind w:firstLine="420" w:firstLineChars="200"/>
        <w:rPr>
          <w:b w:val="0"/>
          <w:bCs w:val="0"/>
        </w:rPr>
      </w:pPr>
      <w:r>
        <w:rPr>
          <w:b w:val="0"/>
          <w:bCs w:val="0"/>
        </w:rPr>
        <w:t>［</w:t>
      </w:r>
      <w:r>
        <w:rPr>
          <w:rFonts w:hint="eastAsia"/>
          <w:b w:val="0"/>
          <w:bCs w:val="0"/>
        </w:rPr>
        <w:t>问题</w:t>
      </w:r>
      <w:r>
        <w:rPr>
          <w:rFonts w:hint="eastAsia" w:asciiTheme="minorEastAsia" w:hAnsiTheme="minorEastAsia" w:eastAsiaTheme="minorEastAsia" w:cstheme="minorEastAsia"/>
          <w:b w:val="0"/>
          <w:bCs w:val="0"/>
          <w:lang w:val="en-US" w:eastAsia="zh-CN"/>
        </w:rPr>
        <w:t>4</w:t>
      </w:r>
      <w:r>
        <w:rPr>
          <w:b w:val="0"/>
          <w:bCs w:val="0"/>
        </w:rPr>
        <w:t>］</w:t>
      </w:r>
      <w:r>
        <w:rPr>
          <w:rFonts w:hint="eastAsia"/>
          <w:b w:val="0"/>
          <w:bCs w:val="0"/>
        </w:rPr>
        <w:t>铁粉与稀硫酸反应完全后，为何要趁热过滤而不能冷却至室温再过滤？</w:t>
      </w:r>
    </w:p>
    <w:p w14:paraId="77089A63">
      <w:pPr>
        <w:ind w:firstLine="420" w:firstLineChars="200"/>
        <w:rPr>
          <w:rFonts w:ascii="宋体" w:hAnsi="宋体" w:cs="宋体"/>
          <w:b w:val="0"/>
          <w:bCs w:val="0"/>
        </w:rPr>
      </w:pPr>
      <w:r>
        <w:rPr>
          <w:rFonts w:hint="eastAsia" w:ascii="宋体" w:hAnsi="宋体" w:cs="宋体"/>
          <w:b w:val="0"/>
          <w:bCs w:val="0"/>
        </w:rPr>
        <w:t>［学生主要想法］由表</w:t>
      </w:r>
      <w:r>
        <w:rPr>
          <w:rFonts w:hint="eastAsia" w:ascii="宋体" w:hAnsi="宋体" w:cs="宋体"/>
          <w:b w:val="0"/>
          <w:bCs w:val="0"/>
          <w:lang w:val="en-US" w:eastAsia="zh-CN"/>
        </w:rPr>
        <w:t>2</w:t>
      </w:r>
      <w:r>
        <w:rPr>
          <w:rFonts w:hint="eastAsia" w:ascii="宋体" w:hAnsi="宋体" w:cs="宋体"/>
          <w:b w:val="0"/>
          <w:bCs w:val="0"/>
        </w:rPr>
        <w:t>可知温度在0～64</w:t>
      </w:r>
      <w:r>
        <w:rPr>
          <w:rFonts w:hint="eastAsia" w:ascii="宋体" w:hAnsi="宋体" w:cs="宋体"/>
          <w:b w:val="0"/>
          <w:bCs w:val="0"/>
          <w:szCs w:val="21"/>
        </w:rPr>
        <w:t>℃</w:t>
      </w:r>
      <w:r>
        <w:rPr>
          <w:rFonts w:hint="eastAsia" w:ascii="宋体" w:hAnsi="宋体" w:cs="宋体"/>
          <w:b w:val="0"/>
          <w:bCs w:val="0"/>
        </w:rPr>
        <w:t>时，温度越低，硫酸亚铁的溶解度也越小。趁热过滤，是为了防止硫酸亚铁因温度降低而从溶液中析出，导致留在滤液中的硫酸亚铁质量也变少，降低莫尔盐产率。</w:t>
      </w:r>
    </w:p>
    <w:p w14:paraId="09976B09">
      <w:pPr>
        <w:ind w:firstLine="420" w:firstLineChars="200"/>
        <w:rPr>
          <w:rFonts w:ascii="宋体" w:hAnsi="宋体" w:cs="宋体"/>
          <w:b w:val="0"/>
          <w:bCs w:val="0"/>
        </w:rPr>
      </w:pPr>
      <w:r>
        <w:rPr>
          <w:rFonts w:hint="eastAsia" w:ascii="宋体" w:hAnsi="宋体" w:cs="宋体"/>
          <w:b w:val="0"/>
          <w:bCs w:val="0"/>
        </w:rPr>
        <w:t>［教师</w:t>
      </w:r>
      <w:r>
        <w:rPr>
          <w:rFonts w:hint="eastAsia" w:ascii="宋体" w:hAnsi="宋体" w:cs="宋体"/>
          <w:b w:val="0"/>
          <w:bCs w:val="0"/>
          <w:lang w:val="en-US" w:eastAsia="zh-CN"/>
        </w:rPr>
        <w:t>支持</w:t>
      </w:r>
      <w:r>
        <w:rPr>
          <w:rFonts w:hint="eastAsia" w:ascii="宋体" w:hAnsi="宋体" w:cs="宋体"/>
          <w:b w:val="0"/>
          <w:bCs w:val="0"/>
        </w:rPr>
        <w:t>］滤液中的硫酸亚铁质量是影响产率的重要因素。物质实际生产中要依据“硫酸亚铁的性质”来进行条件控制和操作选择。</w:t>
      </w:r>
    </w:p>
    <w:p w14:paraId="30D7E2FA">
      <w:pPr>
        <w:ind w:firstLine="420" w:firstLineChars="200"/>
        <w:rPr>
          <w:rFonts w:ascii="宋体" w:hAnsi="宋体" w:cs="宋体"/>
          <w:b w:val="0"/>
          <w:bCs w:val="0"/>
        </w:rPr>
      </w:pPr>
      <w:r>
        <w:rPr>
          <w:rFonts w:hint="eastAsia" w:ascii="宋体" w:hAnsi="宋体" w:cs="宋体"/>
          <w:b w:val="0"/>
          <w:bCs w:val="0"/>
        </w:rPr>
        <w:t>［问题</w:t>
      </w:r>
      <w:r>
        <w:rPr>
          <w:rFonts w:hint="eastAsia" w:asciiTheme="minorEastAsia" w:hAnsiTheme="minorEastAsia" w:eastAsiaTheme="minorEastAsia" w:cstheme="minorEastAsia"/>
          <w:b w:val="0"/>
          <w:bCs w:val="0"/>
          <w:lang w:val="en-US" w:eastAsia="zh-CN"/>
        </w:rPr>
        <w:t>5</w:t>
      </w:r>
      <w:r>
        <w:rPr>
          <w:rFonts w:hint="eastAsia" w:ascii="宋体" w:hAnsi="宋体" w:cs="宋体"/>
          <w:b w:val="0"/>
          <w:bCs w:val="0"/>
        </w:rPr>
        <w:t>］</w:t>
      </w:r>
      <w:r>
        <w:rPr>
          <w:rFonts w:hint="eastAsia" w:ascii="宋体" w:hAnsi="宋体" w:cs="宋体"/>
          <w:b w:val="0"/>
          <w:bCs w:val="0"/>
          <w:szCs w:val="21"/>
        </w:rPr>
        <w:t>实验中获得莫尔盐的结晶方法是什么？</w:t>
      </w:r>
      <w:r>
        <w:rPr>
          <w:rFonts w:hint="eastAsia" w:ascii="宋体" w:hAnsi="宋体" w:cs="宋体"/>
          <w:b w:val="0"/>
          <w:bCs w:val="0"/>
        </w:rPr>
        <w:t>能否采用蒸发结晶来获得莫尔盐？能否</w:t>
      </w:r>
      <w:r>
        <w:rPr>
          <w:rFonts w:hint="eastAsia" w:ascii="宋体" w:hAnsi="宋体" w:cs="宋体"/>
          <w:b w:val="0"/>
          <w:bCs w:val="0"/>
          <w:szCs w:val="21"/>
        </w:rPr>
        <w:t>用水代替乙醇洗涤莫尔盐固体？</w:t>
      </w:r>
    </w:p>
    <w:p w14:paraId="2D70E4FC">
      <w:pPr>
        <w:ind w:firstLine="420" w:firstLineChars="200"/>
        <w:rPr>
          <w:rFonts w:ascii="宋体" w:hAnsi="宋体" w:cs="宋体"/>
          <w:b w:val="0"/>
          <w:bCs w:val="0"/>
        </w:rPr>
      </w:pPr>
      <w:r>
        <w:rPr>
          <w:rFonts w:hint="eastAsia" w:ascii="宋体" w:hAnsi="宋体" w:cs="宋体"/>
          <w:b w:val="0"/>
          <w:bCs w:val="0"/>
        </w:rPr>
        <w:t>［学生主要想法］由步骤⑥可知，采用降温结晶的方法可以获得莫尔盐。不能采用蒸发结晶的原因是因为温度超过100</w:t>
      </w:r>
      <w:r>
        <w:rPr>
          <w:rFonts w:hint="eastAsia" w:ascii="宋体" w:hAnsi="宋体" w:cs="宋体"/>
          <w:b w:val="0"/>
          <w:bCs w:val="0"/>
          <w:szCs w:val="21"/>
        </w:rPr>
        <w:t>℃</w:t>
      </w:r>
      <w:r>
        <w:rPr>
          <w:rFonts w:hint="eastAsia" w:ascii="宋体" w:hAnsi="宋体" w:cs="宋体"/>
          <w:b w:val="0"/>
          <w:bCs w:val="0"/>
        </w:rPr>
        <w:t>，莫尔盐就易受热分解。不能用水洗涤的原因是因为莫尔盐易溶于水，用水洗涤，也会降低产率。</w:t>
      </w:r>
    </w:p>
    <w:p w14:paraId="04128075">
      <w:pPr>
        <w:ind w:firstLine="420" w:firstLineChars="200"/>
        <w:rPr>
          <w:rFonts w:hint="eastAsia" w:ascii="宋体" w:hAnsi="宋体" w:cs="宋体"/>
          <w:b w:val="0"/>
          <w:bCs w:val="0"/>
        </w:rPr>
      </w:pPr>
      <w:r>
        <w:rPr>
          <w:b w:val="0"/>
          <w:bCs w:val="0"/>
        </w:rPr>
        <w:t>［</w:t>
      </w:r>
      <w:r>
        <w:rPr>
          <w:rFonts w:hint="eastAsia"/>
          <w:b w:val="0"/>
          <w:bCs w:val="0"/>
        </w:rPr>
        <w:t>教师</w:t>
      </w:r>
      <w:r>
        <w:rPr>
          <w:rFonts w:hint="eastAsia" w:ascii="宋体" w:hAnsi="宋体" w:cs="宋体"/>
          <w:b w:val="0"/>
          <w:bCs w:val="0"/>
          <w:lang w:val="en-US" w:eastAsia="zh-CN"/>
        </w:rPr>
        <w:t>支持</w:t>
      </w:r>
      <w:r>
        <w:rPr>
          <w:b w:val="0"/>
          <w:bCs w:val="0"/>
        </w:rPr>
        <w:t>］</w:t>
      </w:r>
      <w:r>
        <w:rPr>
          <w:rFonts w:hint="eastAsia"/>
          <w:b w:val="0"/>
          <w:bCs w:val="0"/>
        </w:rPr>
        <w:t>看来，</w:t>
      </w:r>
      <w:r>
        <w:rPr>
          <w:rFonts w:hint="eastAsia" w:ascii="宋体" w:hAnsi="宋体" w:cs="宋体"/>
          <w:b w:val="0"/>
          <w:bCs w:val="0"/>
        </w:rPr>
        <w:t>物质实际生产中还要依据“产品的性质”来进行条件控制和操作选择。</w:t>
      </w:r>
    </w:p>
    <w:p w14:paraId="5B4FC9AF">
      <w:pPr>
        <w:ind w:firstLine="420" w:firstLineChars="200"/>
        <w:rPr>
          <w:rFonts w:hint="default" w:ascii="宋体" w:hAnsi="宋体" w:cs="宋体"/>
          <w:b w:val="0"/>
          <w:bCs w:val="0"/>
          <w:lang w:val="en-US"/>
        </w:rPr>
      </w:pPr>
      <w:r>
        <w:rPr>
          <w:rFonts w:hint="eastAsia" w:ascii="楷体" w:hAnsi="楷体" w:eastAsia="楷体" w:cs="楷体"/>
          <w:b w:val="0"/>
          <w:bCs w:val="0"/>
          <w:lang w:val="en-US" w:eastAsia="zh-CN"/>
        </w:rPr>
        <w:t>设计意图：通过对趁热过滤、结晶方法及洗涤试剂的讨论，进一步让学生认识到物质的性质是选择物质分离和提纯方法的重要依据，也会直接影响产品产率。</w:t>
      </w:r>
    </w:p>
    <w:p w14:paraId="39AE4F45">
      <w:pPr>
        <w:ind w:firstLine="420" w:firstLineChars="200"/>
        <w:rPr>
          <w:rFonts w:hint="default" w:eastAsia="宋体"/>
          <w:b w:val="0"/>
          <w:bCs w:val="0"/>
          <w:lang w:val="en-US" w:eastAsia="zh-CN"/>
        </w:rPr>
      </w:pPr>
      <w:r>
        <w:rPr>
          <w:b w:val="0"/>
          <w:bCs w:val="0"/>
        </w:rPr>
        <w:t>［</w:t>
      </w:r>
      <w:r>
        <w:rPr>
          <w:rFonts w:hint="eastAsia"/>
          <w:b w:val="0"/>
          <w:bCs w:val="0"/>
          <w:lang w:val="en-US" w:eastAsia="zh-CN"/>
        </w:rPr>
        <w:t>活动</w:t>
      </w:r>
      <w:r>
        <w:rPr>
          <w:rFonts w:hint="eastAsia" w:asciiTheme="minorEastAsia" w:hAnsiTheme="minorEastAsia" w:eastAsiaTheme="minorEastAsia" w:cstheme="minorEastAsia"/>
          <w:b w:val="0"/>
          <w:bCs w:val="0"/>
          <w:lang w:val="en-US" w:eastAsia="zh-CN"/>
        </w:rPr>
        <w:t>5</w:t>
      </w:r>
      <w:r>
        <w:rPr>
          <w:b w:val="0"/>
          <w:bCs w:val="0"/>
        </w:rPr>
        <w:t>］</w:t>
      </w:r>
      <w:r>
        <w:rPr>
          <w:rFonts w:hint="eastAsia"/>
          <w:b w:val="0"/>
          <w:bCs w:val="0"/>
          <w:lang w:val="en-US" w:eastAsia="zh-CN"/>
        </w:rPr>
        <w:t>归纳总结探究物质制备的一般思路和方法。</w:t>
      </w:r>
    </w:p>
    <w:p w14:paraId="28D45C75">
      <w:pPr>
        <w:ind w:firstLine="420" w:firstLineChars="200"/>
        <w:rPr>
          <w:rFonts w:ascii="宋体" w:hAnsi="宋体" w:cs="宋体"/>
          <w:b w:val="0"/>
          <w:bCs w:val="0"/>
          <w:szCs w:val="21"/>
        </w:rPr>
      </w:pPr>
      <w:r>
        <w:rPr>
          <w:b w:val="0"/>
          <w:bCs w:val="0"/>
        </w:rPr>
        <w:t>［</w:t>
      </w:r>
      <w:r>
        <w:rPr>
          <w:rFonts w:hint="eastAsia"/>
          <w:b w:val="0"/>
          <w:bCs w:val="0"/>
        </w:rPr>
        <w:t>教师</w:t>
      </w:r>
      <w:r>
        <w:rPr>
          <w:rFonts w:hint="eastAsia" w:ascii="宋体" w:hAnsi="宋体" w:cs="宋体"/>
          <w:b w:val="0"/>
          <w:bCs w:val="0"/>
          <w:lang w:val="en-US" w:eastAsia="zh-CN"/>
        </w:rPr>
        <w:t>支持</w:t>
      </w:r>
      <w:r>
        <w:rPr>
          <w:b w:val="0"/>
          <w:bCs w:val="0"/>
        </w:rPr>
        <w:t>］</w:t>
      </w:r>
      <w:r>
        <w:rPr>
          <w:rFonts w:hint="eastAsia"/>
          <w:b w:val="0"/>
          <w:bCs w:val="0"/>
          <w:lang w:val="en-US" w:eastAsia="zh-CN"/>
        </w:rPr>
        <w:t>指导学生归纳总结</w:t>
      </w:r>
      <w:r>
        <w:rPr>
          <w:rFonts w:hint="eastAsia" w:ascii="宋体" w:hAnsi="宋体" w:cs="宋体"/>
          <w:b w:val="0"/>
          <w:bCs w:val="0"/>
          <w:szCs w:val="21"/>
        </w:rPr>
        <w:t>探究物质制备的一般思路和方法：</w:t>
      </w:r>
    </w:p>
    <w:p w14:paraId="6C1A948C">
      <w:pPr>
        <w:jc w:val="center"/>
        <w:rPr>
          <w:rFonts w:hint="eastAsia" w:ascii="楷体" w:hAnsi="楷体" w:eastAsia="楷体" w:cs="楷体"/>
          <w:b w:val="0"/>
          <w:bCs w:val="0"/>
          <w:lang w:val="en-US" w:eastAsia="zh-CN"/>
        </w:rPr>
      </w:pPr>
      <w:r>
        <w:drawing>
          <wp:inline distT="0" distB="0" distL="114300" distR="114300">
            <wp:extent cx="5270500" cy="801370"/>
            <wp:effectExtent l="0" t="0" r="6350" b="17780"/>
            <wp:docPr id="1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pic:cNvPicPr>
                      <a:picLocks noChangeAspect="1"/>
                    </pic:cNvPicPr>
                  </pic:nvPicPr>
                  <pic:blipFill>
                    <a:blip r:embed="rId36"/>
                    <a:stretch>
                      <a:fillRect/>
                    </a:stretch>
                  </pic:blipFill>
                  <pic:spPr>
                    <a:xfrm>
                      <a:off x="0" y="0"/>
                      <a:ext cx="5270500" cy="801370"/>
                    </a:xfrm>
                    <a:prstGeom prst="rect">
                      <a:avLst/>
                    </a:prstGeom>
                    <a:noFill/>
                    <a:ln>
                      <a:noFill/>
                    </a:ln>
                  </pic:spPr>
                </pic:pic>
              </a:graphicData>
            </a:graphic>
          </wp:inline>
        </w:drawing>
      </w:r>
    </w:p>
    <w:p w14:paraId="54DA3FDF">
      <w:pPr>
        <w:ind w:firstLine="420" w:firstLineChars="200"/>
        <w:jc w:val="both"/>
        <w:rPr>
          <w:rFonts w:hint="eastAsia" w:ascii="楷体" w:hAnsi="楷体" w:eastAsia="楷体" w:cs="楷体"/>
          <w:b w:val="0"/>
          <w:bCs w:val="0"/>
          <w:sz w:val="21"/>
          <w:lang w:val="en-US"/>
        </w:rPr>
      </w:pPr>
      <w:r>
        <w:rPr>
          <w:rFonts w:hint="eastAsia" w:ascii="楷体" w:hAnsi="楷体" w:eastAsia="楷体" w:cs="楷体"/>
          <w:b w:val="0"/>
          <w:bCs w:val="0"/>
          <w:lang w:val="en-US" w:eastAsia="zh-CN"/>
        </w:rPr>
        <w:t>设计意图：帮助学生从物质转化、操作选择和条件控制三个角度，建立分析物质制备问题的思维模型，有利于培养其科学思维。同时，让他们在形成“物质的性质是物质制备三要素的重要依据”的认识基础上，</w:t>
      </w:r>
      <w:r>
        <w:rPr>
          <w:rFonts w:hint="eastAsia" w:ascii="楷体" w:hAnsi="楷体" w:eastAsia="楷体" w:cs="楷体"/>
          <w:sz w:val="21"/>
          <w:szCs w:val="21"/>
        </w:rPr>
        <w:t>感悟</w:t>
      </w:r>
      <w:r>
        <w:rPr>
          <w:rFonts w:hint="eastAsia" w:ascii="楷体" w:hAnsi="楷体" w:eastAsia="楷体" w:cs="楷体"/>
          <w:color w:val="000000"/>
          <w:sz w:val="21"/>
          <w:szCs w:val="21"/>
        </w:rPr>
        <w:t>合理利用、调控化学反应对</w:t>
      </w:r>
      <w:r>
        <w:rPr>
          <w:rFonts w:hint="eastAsia" w:ascii="楷体" w:hAnsi="楷体" w:eastAsia="楷体" w:cs="楷体"/>
          <w:color w:val="000000"/>
          <w:sz w:val="21"/>
          <w:szCs w:val="21"/>
          <w:lang w:val="en-US" w:eastAsia="zh-CN"/>
        </w:rPr>
        <w:t>提高产品产率</w:t>
      </w:r>
      <w:r>
        <w:rPr>
          <w:rFonts w:hint="eastAsia" w:ascii="楷体" w:hAnsi="楷体" w:eastAsia="楷体" w:cs="楷体"/>
          <w:color w:val="000000"/>
          <w:sz w:val="21"/>
          <w:szCs w:val="21"/>
        </w:rPr>
        <w:t>的重要意义</w:t>
      </w:r>
      <w:r>
        <w:rPr>
          <w:rFonts w:hint="eastAsia" w:ascii="楷体" w:hAnsi="楷体" w:eastAsia="楷体" w:cs="楷体"/>
          <w:color w:val="000000"/>
          <w:sz w:val="21"/>
          <w:szCs w:val="21"/>
          <w:lang w:eastAsia="zh-CN"/>
        </w:rPr>
        <w:t>。</w:t>
      </w:r>
    </w:p>
    <w:p w14:paraId="46CB76FE">
      <w:pPr>
        <w:rPr>
          <w:rFonts w:hint="default" w:ascii="黑体" w:hAnsi="黑体" w:eastAsia="黑体" w:cs="黑体"/>
          <w:color w:val="000000"/>
          <w:sz w:val="21"/>
          <w:szCs w:val="21"/>
          <w:lang w:val="en-US"/>
        </w:rPr>
      </w:pPr>
      <w:r>
        <w:rPr>
          <w:rFonts w:hint="eastAsia" w:ascii="黑体" w:hAnsi="黑体" w:eastAsia="黑体" w:cs="黑体"/>
          <w:color w:val="000000"/>
          <w:sz w:val="21"/>
          <w:szCs w:val="21"/>
        </w:rPr>
        <w:t xml:space="preserve">6 </w:t>
      </w:r>
      <w:r>
        <w:rPr>
          <w:rFonts w:hint="eastAsia" w:ascii="黑体" w:hAnsi="黑体" w:eastAsia="黑体" w:cs="黑体"/>
          <w:color w:val="000000"/>
          <w:sz w:val="21"/>
          <w:szCs w:val="21"/>
          <w:lang w:val="en-US" w:eastAsia="zh-CN"/>
        </w:rPr>
        <w:t>教学反思</w:t>
      </w:r>
    </w:p>
    <w:p w14:paraId="4BFAF703">
      <w:pPr>
        <w:widowControl/>
        <w:ind w:firstLine="420" w:firstLineChars="200"/>
        <w:jc w:val="left"/>
        <w:rPr>
          <w:rFonts w:hint="eastAsia" w:ascii="宋体" w:hAnsi="宋体" w:cs="宋体"/>
          <w:lang w:val="en-US" w:eastAsia="zh-CN"/>
        </w:rPr>
      </w:pPr>
      <w:r>
        <w:rPr>
          <w:rFonts w:hint="eastAsia" w:ascii="宋体" w:hAnsi="宋体" w:cs="宋体"/>
          <w:lang w:val="en-US" w:eastAsia="zh-CN"/>
        </w:rPr>
        <w:t>对于初中生而言，莫尔盐是一种陌生物质。本单元教学的主要目的不是让学生掌握莫尔盐的性质、组成和制备，而是要让他们学会从物质的组成、变化和制备等视角认识物质的性质，并建立不同角度之间的学科逻辑关联，这不仅是重要的物质认识方式，也是科学物质观的重要内涵。为了实现这一目标，教师设计了多样化的活动和任务，引导学生在实践中体会物质的各个认识角度之间的关联。如课时1中，学生通过完成任务1体会物质的变化体现性质，物质的性质反映变化，通过完成任务2体会物质的组成决定性质，通过完成任务3学会从物质的组成角度分析变化；课时2中，学生通过完成任务2学会基于物质的组成推测物质的化学性质；课时3中，学生通过完成任务2知道制备物质时需要依据物质的性质来进行条件控制，通过完成任务3知道制备物质时需要依据物质的性质来选择物质分离方法等。</w:t>
      </w:r>
    </w:p>
    <w:p w14:paraId="37B7ED20">
      <w:pPr>
        <w:widowControl/>
        <w:ind w:firstLine="420" w:firstLineChars="200"/>
        <w:jc w:val="left"/>
        <w:rPr>
          <w:rFonts w:asciiTheme="minorEastAsia" w:hAnsiTheme="minorEastAsia" w:eastAsiaTheme="minorEastAsia" w:cstheme="minorEastAsia"/>
          <w:b/>
          <w:bCs/>
          <w:color w:val="000000"/>
          <w:szCs w:val="21"/>
        </w:rPr>
      </w:pPr>
      <w:r>
        <w:rPr>
          <w:rFonts w:hint="eastAsia" w:ascii="宋体" w:hAnsi="宋体" w:cs="宋体"/>
          <w:lang w:val="en-US" w:eastAsia="zh-CN"/>
        </w:rPr>
        <w:t>学生对物质性质的认识水平是随着物质的组成与结构、物质的化学变化等主题的学习而逐渐进阶的，学生认识物质性质有一个从宏观到微观、从定性到定量、从孤立到系统的层级发展过程</w:t>
      </w:r>
      <w:r>
        <w:rPr>
          <w:rFonts w:hint="eastAsia" w:ascii="宋体" w:hAnsi="宋体" w:cs="宋体"/>
          <w:sz w:val="21"/>
          <w:vertAlign w:val="superscript"/>
          <w:lang w:val="en-US" w:eastAsia="zh-CN"/>
        </w:rPr>
        <w:t>[11]</w:t>
      </w:r>
      <w:r>
        <w:rPr>
          <w:rFonts w:hint="eastAsia" w:ascii="宋体" w:hAnsi="宋体" w:cs="宋体"/>
          <w:lang w:val="en-US" w:eastAsia="zh-CN"/>
        </w:rPr>
        <w:t>。要提升学生认识物质的层级水平，教师在教学中需要凝练大概念，并依据学科知识逻辑顺序和学生认知发展规律，遵循循序渐进的教学原则，整体设计和合理实施单元教学。如本单元教学中，在单元大概念统摄下，</w:t>
      </w:r>
      <w:r>
        <w:rPr>
          <w:rFonts w:hint="eastAsia" w:ascii="宋体" w:hAnsi="宋体" w:cs="宋体"/>
          <w:szCs w:val="21"/>
          <w:lang w:val="en-US" w:eastAsia="zh-CN"/>
        </w:rPr>
        <w:t>3个课时的教学内容联系紧密、环环相扣，且对学生的学科能力表现评价水平是逐层递进的。如要完成课时1的任务，学生需要通过莫尔盐的性质推测莫尔盐的组成，从莫尔盐的组成角度推测莫尔盐受热分解的产物，达到“宏微结合—定性—推论预测”的能力水平；要完成课时2的任务，学生需要综合运用</w:t>
      </w:r>
      <w:r>
        <w:rPr>
          <w:rFonts w:hint="eastAsia" w:asciiTheme="minorEastAsia" w:hAnsiTheme="minorEastAsia" w:eastAsiaTheme="minorEastAsia" w:cstheme="minorEastAsia"/>
          <w:color w:val="000000"/>
          <w:sz w:val="21"/>
          <w:szCs w:val="21"/>
        </w:rPr>
        <w:t>化合价、质量关系、比例关系、元素质量守恒</w:t>
      </w:r>
      <w:r>
        <w:rPr>
          <w:rFonts w:hint="eastAsia" w:asciiTheme="minorEastAsia" w:hAnsiTheme="minorEastAsia" w:eastAsiaTheme="minorEastAsia" w:cstheme="minorEastAsia"/>
          <w:color w:val="000000"/>
          <w:sz w:val="21"/>
          <w:szCs w:val="21"/>
          <w:lang w:val="en-US" w:eastAsia="zh-CN"/>
        </w:rPr>
        <w:t>等知识，通过</w:t>
      </w:r>
      <w:r>
        <w:rPr>
          <w:rFonts w:hint="eastAsia" w:asciiTheme="minorEastAsia" w:hAnsiTheme="minorEastAsia" w:eastAsiaTheme="minorEastAsia" w:cstheme="minorEastAsia"/>
          <w:color w:val="000000"/>
          <w:sz w:val="21"/>
          <w:szCs w:val="21"/>
        </w:rPr>
        <w:t>定量计算来确定莫尔盐的化学式</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需要通过拆写</w:t>
      </w:r>
      <w:r>
        <w:rPr>
          <w:rFonts w:hint="eastAsia" w:ascii="宋体" w:hAnsi="宋体" w:cs="宋体"/>
          <w:sz w:val="21"/>
          <w:szCs w:val="21"/>
          <w:lang w:val="en-US" w:eastAsia="zh-CN"/>
        </w:rPr>
        <w:t>类似莫尔盐的</w:t>
      </w:r>
      <w:r>
        <w:rPr>
          <w:rFonts w:hint="eastAsia" w:ascii="宋体" w:hAnsi="宋体" w:cs="宋体"/>
          <w:sz w:val="21"/>
          <w:szCs w:val="21"/>
        </w:rPr>
        <w:t>陌生物质化学式</w:t>
      </w:r>
      <w:r>
        <w:rPr>
          <w:rFonts w:hint="eastAsia" w:ascii="宋体" w:hAnsi="宋体" w:cs="宋体"/>
          <w:sz w:val="21"/>
          <w:szCs w:val="21"/>
          <w:lang w:eastAsia="zh-CN"/>
        </w:rPr>
        <w:t>，</w:t>
      </w:r>
      <w:r>
        <w:rPr>
          <w:rFonts w:hint="eastAsia" w:ascii="宋体" w:hAnsi="宋体" w:cs="宋体"/>
          <w:sz w:val="21"/>
          <w:szCs w:val="21"/>
          <w:lang w:val="en-US" w:eastAsia="zh-CN"/>
        </w:rPr>
        <w:t>在认识陌生物质组成的基础上推理物质的化学性质，</w:t>
      </w:r>
      <w:r>
        <w:rPr>
          <w:rFonts w:hint="eastAsia" w:ascii="宋体" w:hAnsi="宋体" w:cs="宋体"/>
          <w:szCs w:val="21"/>
          <w:lang w:val="en-US" w:eastAsia="zh-CN"/>
        </w:rPr>
        <w:t>达到“宏微结合—定性定量结合—复杂推理”的能力水平；要完成课时3的任务，学生则需要利用莫尔盐的组成、性质及变化，系统分析物质制备过程中物质转化、条件控制和操作选择的相关问题，达到“宏观—定性定量结合—复杂推理—系统分析”的能力水平。</w:t>
      </w:r>
    </w:p>
    <w:p w14:paraId="1C3CB4C1">
      <w:pPr>
        <w:widowControl/>
        <w:jc w:val="center"/>
        <w:rPr>
          <w:rFonts w:hint="eastAsia" w:ascii="宋体" w:hAnsi="宋体" w:cs="宋体"/>
          <w:sz w:val="21"/>
          <w:szCs w:val="21"/>
        </w:rPr>
      </w:pPr>
      <w:r>
        <w:rPr>
          <w:rFonts w:hint="eastAsia" w:ascii="黑体" w:hAnsi="黑体" w:eastAsia="黑体" w:cs="黑体"/>
          <w:sz w:val="21"/>
          <w:szCs w:val="21"/>
        </w:rPr>
        <w:t>参考文献</w:t>
      </w:r>
    </w:p>
    <w:p w14:paraId="617DDD07">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]中华人民共和国教育部制定.义务教育化学课程标准(2022年版)[S].北京:北京师范大学出版社,2022．</w:t>
      </w:r>
    </w:p>
    <w:p w14:paraId="58005F91">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]何彩霞.化学学科核心素养导向的大概念单元教学探讨[J].化学教学,20</w:t>
      </w:r>
      <w:r>
        <w:rPr>
          <w:rFonts w:hint="eastAsia" w:asciiTheme="minorEastAsia" w:hAnsiTheme="minorEastAsia" w:eastAsiaTheme="minorEastAsia" w:cstheme="minorEastAsia"/>
          <w:sz w:val="18"/>
          <w:szCs w:val="18"/>
          <w:lang w:val="en-US" w:eastAsia="zh-CN"/>
        </w:rPr>
        <w:t>19</w:t>
      </w:r>
      <w:r>
        <w:rPr>
          <w:rFonts w:hint="eastAsia" w:asciiTheme="minorEastAsia" w:hAnsiTheme="minorEastAsia" w:eastAsiaTheme="minorEastAsia" w:cstheme="minorEastAsia"/>
          <w:sz w:val="18"/>
          <w:szCs w:val="18"/>
        </w:rPr>
        <w:t>,(11):</w:t>
      </w:r>
      <w:r>
        <w:rPr>
          <w:rFonts w:hint="eastAsia" w:asciiTheme="minorEastAsia" w:hAnsiTheme="minorEastAsia" w:eastAsiaTheme="minorEastAsia" w:cstheme="minorEastAsia"/>
          <w:sz w:val="18"/>
          <w:szCs w:val="18"/>
          <w:lang w:val="en-US" w:eastAsia="zh-CN"/>
        </w:rPr>
        <w:t>44</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8．</w:t>
      </w:r>
    </w:p>
    <w:p w14:paraId="2DDDE82B">
      <w:pPr>
        <w:widowControl/>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]占小</w:t>
      </w:r>
      <w:r>
        <w:rPr>
          <w:rFonts w:hint="eastAsia" w:asciiTheme="minorEastAsia" w:hAnsiTheme="minorEastAsia" w:eastAsiaTheme="minorEastAsia" w:cstheme="minorEastAsia"/>
          <w:color w:val="231F20"/>
          <w:kern w:val="0"/>
          <w:sz w:val="18"/>
          <w:szCs w:val="18"/>
          <w:lang w:bidi="ar"/>
        </w:rPr>
        <w:t>红，刘欣欣，杨笑.基于学科大概念的单元教学设计模式与类型化研究</w:t>
      </w:r>
      <w:r>
        <w:rPr>
          <w:rFonts w:hint="eastAsia" w:asciiTheme="minorEastAsia" w:hAnsiTheme="minorEastAsia" w:eastAsiaTheme="minorEastAsia" w:cstheme="minorEastAsia"/>
          <w:sz w:val="18"/>
          <w:szCs w:val="18"/>
        </w:rPr>
        <w:t>[J].上海教育科研,2022,(9):</w:t>
      </w:r>
      <w:r>
        <w:rPr>
          <w:rFonts w:hint="eastAsia" w:asciiTheme="minorEastAsia" w:hAnsiTheme="minorEastAsia" w:eastAsiaTheme="minorEastAsia" w:cstheme="minorEastAsia"/>
          <w:color w:val="000000"/>
          <w:kern w:val="0"/>
          <w:sz w:val="18"/>
          <w:szCs w:val="18"/>
          <w:lang w:bidi="ar"/>
        </w:rPr>
        <w:t>75</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81</w:t>
      </w:r>
      <w:r>
        <w:rPr>
          <w:rFonts w:hint="eastAsia" w:asciiTheme="minorEastAsia" w:hAnsiTheme="minorEastAsia" w:eastAsiaTheme="minorEastAsia" w:cstheme="minorEastAsia"/>
          <w:sz w:val="18"/>
          <w:szCs w:val="18"/>
        </w:rPr>
        <w:t>．</w:t>
      </w:r>
    </w:p>
    <w:p w14:paraId="75E7C5A0">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[4]杨玉琴，陆海燕，吕荣冠.</w:t>
      </w:r>
      <w:r>
        <w:rPr>
          <w:rFonts w:hint="eastAsia" w:asciiTheme="minorEastAsia" w:hAnsiTheme="minorEastAsia" w:eastAsiaTheme="minorEastAsia" w:cstheme="minorEastAsia"/>
          <w:color w:val="000000"/>
          <w:kern w:val="0"/>
          <w:sz w:val="18"/>
          <w:szCs w:val="18"/>
          <w:lang w:bidi="ar"/>
        </w:rPr>
        <w:t>学科大概念:从课标到教材到教学的转化——基于《义务教育化学课程标准(</w:t>
      </w:r>
      <w:r>
        <w:rPr>
          <w:rFonts w:hint="eastAsia" w:asciiTheme="minorEastAsia" w:hAnsiTheme="minorEastAsia" w:eastAsiaTheme="minorEastAsia" w:cstheme="minorEastAsia"/>
          <w:color w:val="000000"/>
          <w:sz w:val="18"/>
          <w:szCs w:val="18"/>
        </w:rPr>
        <w:t>2022年</w:t>
      </w:r>
      <w:r>
        <w:rPr>
          <w:rFonts w:hint="eastAsia" w:asciiTheme="minorEastAsia" w:hAnsiTheme="minorEastAsia" w:eastAsiaTheme="minorEastAsia" w:cstheme="minorEastAsia"/>
          <w:color w:val="000000"/>
          <w:kern w:val="0"/>
          <w:sz w:val="18"/>
          <w:szCs w:val="18"/>
          <w:lang w:bidi="ar"/>
        </w:rPr>
        <w:t>版)》的分析</w:t>
      </w:r>
      <w:r>
        <w:rPr>
          <w:rFonts w:hint="eastAsia" w:asciiTheme="minorEastAsia" w:hAnsiTheme="minorEastAsia" w:eastAsiaTheme="minorEastAsia" w:cstheme="minorEastAsia"/>
          <w:sz w:val="18"/>
          <w:szCs w:val="18"/>
        </w:rPr>
        <w:t>[J].化学教学,2022,(10):3～9．</w:t>
      </w:r>
    </w:p>
    <w:p w14:paraId="74FC3113">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]吴星.</w:t>
      </w:r>
      <w:r>
        <w:rPr>
          <w:rFonts w:hint="eastAsia" w:asciiTheme="minorEastAsia" w:hAnsiTheme="minorEastAsia" w:eastAsiaTheme="minorEastAsia" w:cstheme="minorEastAsia"/>
          <w:color w:val="000000"/>
          <w:sz w:val="18"/>
          <w:szCs w:val="18"/>
        </w:rPr>
        <w:t>以大概念统领设计义务教育化学课程内容——《义务教育化学课程标准（2022年版）》解读（二）</w:t>
      </w:r>
      <w:r>
        <w:rPr>
          <w:rFonts w:hint="eastAsia" w:asciiTheme="minorEastAsia" w:hAnsiTheme="minorEastAsia" w:eastAsiaTheme="minorEastAsia" w:cstheme="minorEastAsia"/>
          <w:sz w:val="18"/>
          <w:szCs w:val="18"/>
        </w:rPr>
        <w:t>[J].化学教学,2022,(11):3～8．</w:t>
      </w:r>
    </w:p>
    <w:p w14:paraId="28045BA7">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rPr>
        <w:t>]郑长龙，迟铭.从理念看变化:《义务教育化学课程标准(2022年版)》解析[J].教师教育学报,2022,9</w:t>
      </w:r>
      <w:r>
        <w:rPr>
          <w:rFonts w:hint="eastAsia" w:asciiTheme="minorEastAsia" w:hAnsiTheme="minorEastAsia" w:eastAsiaTheme="minorEastAsia" w:cstheme="minorEastAsia"/>
          <w:color w:val="000000"/>
          <w:kern w:val="0"/>
          <w:sz w:val="18"/>
          <w:szCs w:val="18"/>
          <w:lang w:bidi="ar"/>
        </w:rPr>
        <w:t>(3)</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129</w:t>
      </w:r>
      <w:r>
        <w:rPr>
          <w:rFonts w:hint="eastAsia" w:asciiTheme="minorEastAsia" w:hAnsiTheme="minorEastAsia" w:eastAsiaTheme="minorEastAsia" w:cstheme="minorEastAsia"/>
          <w:sz w:val="18"/>
          <w:szCs w:val="18"/>
        </w:rPr>
        <w:t>～136．</w:t>
      </w:r>
    </w:p>
    <w:p w14:paraId="37B91ED7">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8</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9</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sz w:val="18"/>
          <w:szCs w:val="18"/>
        </w:rPr>
        <w:t>嵇雷高</w:t>
      </w:r>
      <w:r>
        <w:rPr>
          <w:rFonts w:hint="eastAsia" w:asciiTheme="minorEastAsia" w:hAnsiTheme="minorEastAsia" w:eastAsiaTheme="minorEastAsia" w:cstheme="minorEastAsia"/>
          <w:sz w:val="18"/>
          <w:szCs w:val="18"/>
        </w:rPr>
        <w:t>.用样例引领的方法复习化学实验——基于以废铁屑为原料制备硫酸亚铁铵的实验研究[J].中学化学教学参考,2013,(6):30～33．</w:t>
      </w:r>
    </w:p>
    <w:p w14:paraId="12B50734">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10</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季然，胡勇</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硫酸亚铁铵制备实验条件的优化研究[J]</w:t>
      </w:r>
      <w:r>
        <w:rPr>
          <w:rFonts w:hint="eastAsia" w:asciiTheme="minorEastAsia" w:hAnsiTheme="minorEastAsia" w:eastAsiaTheme="minorEastAsia" w:cstheme="minorEastAsia"/>
          <w:color w:val="000000"/>
          <w:kern w:val="0"/>
          <w:sz w:val="18"/>
          <w:szCs w:val="18"/>
          <w:lang w:val="en-US" w:bidi="ar"/>
        </w:rPr>
        <w:t>.</w:t>
      </w:r>
      <w:r>
        <w:rPr>
          <w:rFonts w:hint="eastAsia" w:asciiTheme="minorEastAsia" w:hAnsiTheme="minorEastAsia" w:eastAsiaTheme="minorEastAsia" w:cstheme="minorEastAsia"/>
          <w:color w:val="000000"/>
          <w:kern w:val="0"/>
          <w:sz w:val="18"/>
          <w:szCs w:val="18"/>
          <w:lang w:bidi="ar"/>
        </w:rPr>
        <w:t>广东化工</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2017</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44(6)</w:t>
      </w:r>
      <w:r>
        <w:rPr>
          <w:rFonts w:hint="eastAsia" w:asciiTheme="minorEastAsia" w:hAnsiTheme="minorEastAsia" w:eastAsiaTheme="minorEastAsia" w:cstheme="minorEastAsia"/>
          <w:color w:val="000000"/>
          <w:kern w:val="0"/>
          <w:sz w:val="18"/>
          <w:szCs w:val="18"/>
          <w:lang w:val="en-US" w:bidi="ar"/>
        </w:rPr>
        <w:t>:</w:t>
      </w:r>
      <w:r>
        <w:rPr>
          <w:rFonts w:hint="eastAsia" w:asciiTheme="minorEastAsia" w:hAnsiTheme="minorEastAsia" w:eastAsiaTheme="minorEastAsia" w:cstheme="minorEastAsia"/>
          <w:color w:val="000000"/>
          <w:kern w:val="0"/>
          <w:sz w:val="18"/>
          <w:szCs w:val="18"/>
          <w:lang w:bidi="ar"/>
        </w:rPr>
        <w:t>78</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color w:val="000000"/>
          <w:kern w:val="0"/>
          <w:sz w:val="18"/>
          <w:szCs w:val="18"/>
          <w:lang w:bidi="ar"/>
        </w:rPr>
        <w:t>79</w:t>
      </w:r>
      <w:r>
        <w:rPr>
          <w:rFonts w:hint="eastAsia" w:asciiTheme="minorEastAsia" w:hAnsiTheme="minorEastAsia" w:eastAsiaTheme="minorEastAsia" w:cstheme="minorEastAsia"/>
          <w:sz w:val="18"/>
          <w:szCs w:val="18"/>
        </w:rPr>
        <w:t>．</w:t>
      </w:r>
    </w:p>
    <w:p w14:paraId="0EBD79B8">
      <w:pPr>
        <w:keepNext w:val="0"/>
        <w:keepLines w:val="0"/>
        <w:widowControl/>
        <w:suppressLineNumbers w:val="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11</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支瑶</w:t>
      </w:r>
      <w:r>
        <w:rPr>
          <w:rFonts w:hint="eastAsia" w:asciiTheme="minorEastAsia" w:hAnsiTheme="minorEastAsia" w:eastAsiaTheme="minorEastAsia" w:cstheme="minorEastAsia"/>
          <w:color w:val="000000"/>
          <w:kern w:val="0"/>
          <w:sz w:val="18"/>
          <w:szCs w:val="18"/>
          <w:lang w:val="en-US" w:eastAsia="zh-CN" w:bidi="ar"/>
        </w:rPr>
        <w:t>等</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2022版课程标准解析与教学指导——初中化学</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M</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北京：北京师范大学出版社</w:t>
      </w:r>
      <w:r>
        <w:rPr>
          <w:rFonts w:hint="eastAsia" w:asciiTheme="minorEastAsia" w:hAnsiTheme="minorEastAsia" w:eastAsiaTheme="minorEastAsia" w:cstheme="minorEastAsia"/>
          <w:sz w:val="18"/>
          <w:szCs w:val="18"/>
        </w:rPr>
        <w:t>,202</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87</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96</w:t>
      </w:r>
      <w:r>
        <w:rPr>
          <w:rFonts w:hint="eastAsia" w:asciiTheme="minorEastAsia" w:hAnsiTheme="minorEastAsia" w:eastAsiaTheme="minorEastAsia" w:cstheme="minorEastAsia"/>
          <w:sz w:val="18"/>
          <w:szCs w:val="18"/>
        </w:rPr>
        <w:t>．</w:t>
      </w:r>
    </w:p>
    <w:p w14:paraId="76075A62">
      <w:pPr>
        <w:keepNext w:val="0"/>
        <w:keepLines w:val="0"/>
        <w:widowControl/>
        <w:suppressLineNumbers w:val="0"/>
        <w:ind w:firstLine="420" w:firstLineChars="200"/>
        <w:jc w:val="left"/>
        <w:rPr>
          <w:rFonts w:hint="eastAsia"/>
          <w:b/>
          <w:bCs/>
        </w:rPr>
      </w:pPr>
      <w:r>
        <w:rPr>
          <w:rFonts w:hint="eastAsia"/>
          <w:b/>
          <w:lang w:val="en-US" w:eastAsia="zh-CN"/>
        </w:rPr>
        <w:t>4</w:t>
      </w:r>
      <w:r>
        <w:rPr>
          <w:b/>
        </w:rPr>
        <w:t>.</w:t>
      </w:r>
      <w:r>
        <w:rPr>
          <w:rFonts w:hint="eastAsia"/>
          <w:b/>
          <w:bCs/>
        </w:rPr>
        <w:t xml:space="preserve"> 实施核心素养导向下的初中化学单元教学实践的实践模型研究</w:t>
      </w:r>
    </w:p>
    <w:p w14:paraId="0A56DAD9">
      <w:pPr>
        <w:keepNext w:val="0"/>
        <w:keepLines w:val="0"/>
        <w:widowControl/>
        <w:suppressLineNumbers w:val="0"/>
        <w:ind w:firstLine="42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3年来，课题组对初中阶段的四大化学课程核心素养的内涵有了更深地了解，对</w:t>
      </w:r>
      <w:r>
        <w:rPr>
          <w:rFonts w:hint="eastAsia" w:asciiTheme="minorEastAsia" w:hAnsiTheme="minorEastAsia" w:eastAsiaTheme="minorEastAsia" w:cstheme="minorEastAsia"/>
          <w:lang w:val="en-US" w:eastAsia="zh-CN"/>
        </w:rPr>
        <w:t>初中阶段化学</w:t>
      </w:r>
      <w:r>
        <w:rPr>
          <w:rFonts w:hint="eastAsia" w:asciiTheme="minorEastAsia" w:hAnsiTheme="minorEastAsia" w:cstheme="minorEastAsia"/>
          <w:lang w:val="en-US" w:eastAsia="zh-CN"/>
        </w:rPr>
        <w:t>基本</w:t>
      </w:r>
      <w:r>
        <w:rPr>
          <w:rFonts w:hint="eastAsia" w:asciiTheme="minorEastAsia" w:hAnsiTheme="minorEastAsia" w:eastAsiaTheme="minorEastAsia" w:cstheme="minorEastAsia"/>
          <w:lang w:val="en-US" w:eastAsia="zh-CN"/>
        </w:rPr>
        <w:t>观念</w:t>
      </w:r>
      <w:r>
        <w:rPr>
          <w:rFonts w:hint="eastAsia" w:asciiTheme="minorEastAsia" w:hAnsiTheme="minorEastAsia" w:cstheme="minorEastAsia"/>
          <w:lang w:val="en-US" w:eastAsia="zh-CN"/>
        </w:rPr>
        <w:t>或大概念</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如</w:t>
      </w:r>
      <w:r>
        <w:rPr>
          <w:rFonts w:hint="eastAsia" w:asciiTheme="minorEastAsia" w:hAnsiTheme="minorEastAsia" w:eastAsiaTheme="minorEastAsia" w:cstheme="minorEastAsia"/>
          <w:lang w:val="en-US" w:eastAsia="zh-CN"/>
        </w:rPr>
        <w:t>元素观、微粒观、变化观</w:t>
      </w:r>
      <w:r>
        <w:rPr>
          <w:rFonts w:hint="eastAsia" w:asciiTheme="minorEastAsia" w:hAnsiTheme="minorEastAsia" w:cstheme="minorEastAsia"/>
          <w:lang w:val="en-US" w:eastAsia="zh-CN"/>
        </w:rPr>
        <w:t>等</w:t>
      </w:r>
      <w:r>
        <w:rPr>
          <w:rFonts w:hint="eastAsia" w:asciiTheme="minorEastAsia" w:hAnsiTheme="minorEastAsia" w:eastAsiaTheme="minorEastAsia" w:cstheme="minorEastAsia"/>
          <w:lang w:val="en-US" w:eastAsia="zh-CN"/>
        </w:rPr>
        <w:t>）的内涵</w:t>
      </w:r>
      <w:r>
        <w:rPr>
          <w:rFonts w:hint="eastAsia" w:asciiTheme="minorEastAsia" w:hAnsiTheme="minorEastAsia" w:cstheme="minorEastAsia"/>
          <w:lang w:val="en-US" w:eastAsia="zh-CN"/>
        </w:rPr>
        <w:t>进行了重新梳理，并结合沪教版新教材的内容，探索了学生建构这些观念需要具备的学习或建构进阶，总结了促进学生化学观念形成的单元教学策略，初步形成了建构化学观念（四大核心素养之一）的实践模型。具体内容见附件5。其中，“初中化学元素观内涵、建构进阶及教学策略”一文已发表在《化学教学》中文核心期刊上。</w:t>
      </w:r>
    </w:p>
    <w:p w14:paraId="5B17DA0C">
      <w:pPr>
        <w:ind w:firstLine="420" w:firstLineChars="200"/>
        <w:rPr>
          <w:b/>
          <w:szCs w:val="21"/>
        </w:rPr>
      </w:pPr>
      <w:r>
        <w:rPr>
          <w:rFonts w:hint="eastAsia"/>
          <w:b/>
          <w:szCs w:val="21"/>
        </w:rPr>
        <w:t>三、收获与成果</w:t>
      </w:r>
    </w:p>
    <w:p w14:paraId="37AD718E">
      <w:pPr>
        <w:ind w:firstLine="420" w:firstLineChars="200"/>
        <w:rPr>
          <w:b/>
          <w:szCs w:val="21"/>
        </w:rPr>
      </w:pPr>
      <w:r>
        <w:rPr>
          <w:rFonts w:hint="eastAsia"/>
          <w:b/>
          <w:szCs w:val="21"/>
        </w:rPr>
        <w:t>（一）理论成果</w:t>
      </w:r>
    </w:p>
    <w:p w14:paraId="2E9897D6">
      <w:pPr>
        <w:ind w:firstLine="420" w:firstLineChars="200"/>
        <w:rPr>
          <w:b/>
          <w:szCs w:val="21"/>
        </w:rPr>
      </w:pPr>
      <w:r>
        <w:rPr>
          <w:rFonts w:hint="eastAsia"/>
          <w:b/>
          <w:szCs w:val="21"/>
        </w:rPr>
        <w:t>1.形成了对学科核心素养导向下的初中化学单元教学实践研究价值的理性认识</w:t>
      </w:r>
    </w:p>
    <w:p w14:paraId="0660A10C">
      <w:pPr>
        <w:ind w:firstLine="420" w:firstLineChars="200"/>
        <w:rPr>
          <w:bCs/>
          <w:szCs w:val="21"/>
        </w:rPr>
      </w:pPr>
      <w:r>
        <w:rPr>
          <w:rFonts w:hint="eastAsia"/>
          <w:bCs/>
          <w:szCs w:val="21"/>
        </w:rPr>
        <w:t>3年来，课题组成员紧紧围绕课题展开了探索和实践，形成了对学科核心素养导向下的初中化学单元教学实践价值的理性认识。</w:t>
      </w:r>
      <w:r>
        <w:rPr>
          <w:bCs/>
          <w:szCs w:val="21"/>
        </w:rPr>
        <w:fldChar w:fldCharType="begin"/>
      </w:r>
      <w:r>
        <w:rPr>
          <w:bCs/>
          <w:szCs w:val="21"/>
        </w:rPr>
        <w:instrText xml:space="preserve"> </w:instrText>
      </w:r>
      <w:r>
        <w:rPr>
          <w:rFonts w:hint="eastAsia"/>
          <w:bCs/>
          <w:szCs w:val="21"/>
        </w:rPr>
        <w:instrText xml:space="preserve">= 1 \* GB3</w:instrText>
      </w:r>
      <w:r>
        <w:rPr>
          <w:bCs/>
          <w:szCs w:val="21"/>
        </w:rPr>
        <w:instrText xml:space="preserve"> </w:instrText>
      </w:r>
      <w:r>
        <w:rPr>
          <w:bCs/>
          <w:szCs w:val="21"/>
        </w:rPr>
        <w:fldChar w:fldCharType="separate"/>
      </w:r>
      <w:r>
        <w:rPr>
          <w:rFonts w:hint="eastAsia"/>
          <w:bCs/>
          <w:szCs w:val="21"/>
        </w:rPr>
        <w:t>①</w:t>
      </w:r>
      <w:r>
        <w:rPr>
          <w:bCs/>
          <w:szCs w:val="21"/>
        </w:rPr>
        <w:fldChar w:fldCharType="end"/>
      </w:r>
      <w:r>
        <w:rPr>
          <w:rFonts w:hint="eastAsia"/>
          <w:b/>
          <w:szCs w:val="21"/>
        </w:rPr>
        <w:t>学科核心素养导向下的初中化学单元教学实践能有效</w:t>
      </w:r>
      <w:r>
        <w:rPr>
          <w:rFonts w:hint="eastAsia"/>
          <w:b/>
          <w:bCs/>
          <w:szCs w:val="21"/>
        </w:rPr>
        <w:t>促进师生的化学学科素养的形成与发展。</w:t>
      </w:r>
      <w:r>
        <w:rPr>
          <w:rFonts w:hint="eastAsia"/>
          <w:bCs/>
          <w:szCs w:val="21"/>
        </w:rPr>
        <w:t>学科核心素养是学生在特定学科领域内所应具备的关键能力和必备品格。在初中化学教学中，通过单元教学实践，教师能够引导学生深入理解化学知识，构建完善的知识体系，并在此过程中培养学生的化学观念、科学思维、科学态度与责任、科学探究与实践等核心素养。这不仅有助于学生掌握化学知识，更能促进其全面发展，为终身学习奠定坚实基础。</w:t>
      </w:r>
      <w:r>
        <w:rPr>
          <w:bCs/>
          <w:szCs w:val="21"/>
        </w:rPr>
        <w:fldChar w:fldCharType="begin"/>
      </w:r>
      <w:r>
        <w:rPr>
          <w:bCs/>
          <w:szCs w:val="21"/>
        </w:rPr>
        <w:instrText xml:space="preserve"> </w:instrText>
      </w:r>
      <w:r>
        <w:rPr>
          <w:rFonts w:hint="eastAsia"/>
          <w:bCs/>
          <w:szCs w:val="21"/>
        </w:rPr>
        <w:instrText xml:space="preserve">= 2 \* GB3</w:instrText>
      </w:r>
      <w:r>
        <w:rPr>
          <w:bCs/>
          <w:szCs w:val="21"/>
        </w:rPr>
        <w:instrText xml:space="preserve"> </w:instrText>
      </w:r>
      <w:r>
        <w:rPr>
          <w:bCs/>
          <w:szCs w:val="21"/>
        </w:rPr>
        <w:fldChar w:fldCharType="separate"/>
      </w:r>
      <w:r>
        <w:rPr>
          <w:rFonts w:hint="eastAsia"/>
          <w:bCs/>
          <w:szCs w:val="21"/>
        </w:rPr>
        <w:t>②</w:t>
      </w:r>
      <w:r>
        <w:rPr>
          <w:bCs/>
          <w:szCs w:val="21"/>
        </w:rPr>
        <w:fldChar w:fldCharType="end"/>
      </w:r>
      <w:r>
        <w:rPr>
          <w:rFonts w:hint="eastAsia"/>
          <w:b/>
          <w:szCs w:val="21"/>
        </w:rPr>
        <w:t>学科核心素养导向下的初中化学单元教学实践能</w:t>
      </w:r>
      <w:r>
        <w:rPr>
          <w:rFonts w:hint="eastAsia"/>
          <w:b/>
          <w:bCs/>
          <w:szCs w:val="21"/>
        </w:rPr>
        <w:t>优化教学过程，提高教学效率。</w:t>
      </w:r>
      <w:r>
        <w:rPr>
          <w:rFonts w:hint="eastAsia"/>
          <w:bCs/>
          <w:szCs w:val="21"/>
        </w:rPr>
        <w:t>传统的初中化学教学模式往往注重理论知识的灌输和讲解，导致课堂氛围沉闷、枯燥，学生的学习兴趣和主动性不高。而学科核心素养导向下的单元教学实践则强调以学科核心素养发展为目标，注重真实情境创设、目标任务驱动、学生实验实践活动过程扎实，以真实问题的解决引领教学，注重知识的内在联系和系统性构建。这种教学模式能够激活课堂活力，优化教学过程，提高教学效率，使学生在轻松愉快的氛围中掌握化学知识，提升学科素养。</w:t>
      </w:r>
      <w:r>
        <w:rPr>
          <w:bCs/>
          <w:szCs w:val="21"/>
        </w:rPr>
        <w:fldChar w:fldCharType="begin"/>
      </w:r>
      <w:r>
        <w:rPr>
          <w:bCs/>
          <w:szCs w:val="21"/>
        </w:rPr>
        <w:instrText xml:space="preserve"> </w:instrText>
      </w:r>
      <w:r>
        <w:rPr>
          <w:rFonts w:hint="eastAsia"/>
          <w:bCs/>
          <w:szCs w:val="21"/>
        </w:rPr>
        <w:instrText xml:space="preserve">= 3 \* GB3</w:instrText>
      </w:r>
      <w:r>
        <w:rPr>
          <w:bCs/>
          <w:szCs w:val="21"/>
        </w:rPr>
        <w:instrText xml:space="preserve"> </w:instrText>
      </w:r>
      <w:r>
        <w:rPr>
          <w:bCs/>
          <w:szCs w:val="21"/>
        </w:rPr>
        <w:fldChar w:fldCharType="separate"/>
      </w:r>
      <w:r>
        <w:rPr>
          <w:rFonts w:hint="eastAsia"/>
          <w:bCs/>
          <w:szCs w:val="21"/>
        </w:rPr>
        <w:t>③</w:t>
      </w:r>
      <w:r>
        <w:rPr>
          <w:bCs/>
          <w:szCs w:val="21"/>
        </w:rPr>
        <w:fldChar w:fldCharType="end"/>
      </w:r>
      <w:r>
        <w:rPr>
          <w:rFonts w:hint="eastAsia"/>
          <w:b/>
          <w:szCs w:val="21"/>
        </w:rPr>
        <w:t>学科核心素养导向下的初中化学单元教学实践能促进教师专业发展</w:t>
      </w:r>
      <w:r>
        <w:rPr>
          <w:rFonts w:hint="eastAsia"/>
          <w:b/>
          <w:bCs/>
          <w:szCs w:val="21"/>
        </w:rPr>
        <w:t>推动初中化学教育事业的发展</w:t>
      </w:r>
      <w:r>
        <w:rPr>
          <w:rFonts w:hint="eastAsia"/>
          <w:bCs/>
          <w:szCs w:val="21"/>
        </w:rPr>
        <w:t>。学科核心素养导向下的初中化学单元教学实践研究是化学教学改革的重要切入点。它要求教师不断更新教学观念，优化教学思路，创新教学形式，提升教师的专业素养和教学能力，以适应新时代教育发展的需求，为培养更多具有创新精神和实践能力的化学人才贡献力量。</w:t>
      </w:r>
      <w:r>
        <w:rPr>
          <w:bCs/>
          <w:szCs w:val="21"/>
        </w:rPr>
        <w:fldChar w:fldCharType="begin"/>
      </w:r>
      <w:r>
        <w:rPr>
          <w:bCs/>
          <w:szCs w:val="21"/>
        </w:rPr>
        <w:instrText xml:space="preserve"> </w:instrText>
      </w:r>
      <w:r>
        <w:rPr>
          <w:rFonts w:hint="eastAsia"/>
          <w:bCs/>
          <w:szCs w:val="21"/>
        </w:rPr>
        <w:instrText xml:space="preserve">= 4 \* GB3</w:instrText>
      </w:r>
      <w:r>
        <w:rPr>
          <w:bCs/>
          <w:szCs w:val="21"/>
        </w:rPr>
        <w:instrText xml:space="preserve"> </w:instrText>
      </w:r>
      <w:r>
        <w:rPr>
          <w:bCs/>
          <w:szCs w:val="21"/>
        </w:rPr>
        <w:fldChar w:fldCharType="separate"/>
      </w:r>
      <w:r>
        <w:rPr>
          <w:rFonts w:hint="eastAsia"/>
          <w:bCs/>
          <w:szCs w:val="21"/>
        </w:rPr>
        <w:t>④</w:t>
      </w:r>
      <w:r>
        <w:rPr>
          <w:bCs/>
          <w:szCs w:val="21"/>
        </w:rPr>
        <w:fldChar w:fldCharType="end"/>
      </w:r>
      <w:r>
        <w:rPr>
          <w:rFonts w:hint="eastAsia"/>
          <w:b/>
          <w:szCs w:val="21"/>
        </w:rPr>
        <w:t>学科核心素养导向下的初中化学单元教学实践顺应</w:t>
      </w:r>
      <w:r>
        <w:rPr>
          <w:rFonts w:hint="eastAsia"/>
          <w:b/>
          <w:bCs/>
          <w:szCs w:val="21"/>
        </w:rPr>
        <w:t>基础教育课程教学改革深化行动方案，适应教育内涵发展的要求。</w:t>
      </w:r>
      <w:r>
        <w:rPr>
          <w:rFonts w:hint="eastAsia"/>
          <w:bCs/>
          <w:szCs w:val="21"/>
        </w:rPr>
        <w:t>随着社会的进步和时代的发展，教育内涵不断丰富和深化。学科核心素养导向下的初中化学单元教学实践研究正是适应这一要求的重要举措，具有深远的意义和价值。它强调以核心素养发展为目标，立德树人为根本任务，以学生为中心，倡导做中学、用中学、创中学，激发青少年好奇心、想象力、探求欲，提升学生解决实际问题的能力，发展学生科学素养，注重学生的全面发展，符合新时代教育改革的发展趋势。通过课题的实践研究，可以提升公民的科学素养，推动初中化学教育更好地服务于学生的成长和发展，为培养更多具有创新精神和实践能力的化学人才、培养德智体美劳全面发展的社会主义建设者和接班人贡献力量。</w:t>
      </w:r>
    </w:p>
    <w:p w14:paraId="7BEBB632">
      <w:pPr>
        <w:ind w:firstLine="420" w:firstLineChars="200"/>
        <w:rPr>
          <w:b/>
          <w:szCs w:val="21"/>
        </w:rPr>
      </w:pPr>
      <w:r>
        <w:rPr>
          <w:rFonts w:hint="eastAsia"/>
          <w:b/>
          <w:szCs w:val="21"/>
        </w:rPr>
        <w:t>2. 学科核心素养导向下的初中化学单元教学实践研究切实转变了教师的思想观念</w:t>
      </w:r>
    </w:p>
    <w:p w14:paraId="5089A305">
      <w:pPr>
        <w:ind w:firstLine="422" w:firstLineChars="200"/>
        <w:rPr>
          <w:rFonts w:cs="MS Gothic" w:asciiTheme="minorEastAsia" w:hAnsiTheme="minorEastAsia"/>
          <w:szCs w:val="21"/>
        </w:rPr>
      </w:pPr>
      <w:r>
        <w:rPr>
          <w:rFonts w:hint="eastAsia" w:ascii="MS Gothic" w:hAnsi="MS Gothic" w:eastAsia="MS Gothic" w:cs="MS Gothic"/>
          <w:b/>
          <w:szCs w:val="21"/>
        </w:rPr>
        <w:t>‌</w:t>
      </w:r>
      <w:r>
        <w:rPr>
          <w:rFonts w:ascii="MS Gothic" w:hAnsi="MS Gothic" w:eastAsia="MS Gothic" w:cs="MS Gothic"/>
          <w:b/>
          <w:szCs w:val="21"/>
        </w:rPr>
        <w:fldChar w:fldCharType="begin"/>
      </w:r>
      <w:r>
        <w:rPr>
          <w:rFonts w:ascii="MS Gothic" w:hAnsi="MS Gothic" w:eastAsia="宋体" w:cs="MS Gothic"/>
          <w:b/>
          <w:szCs w:val="21"/>
        </w:rPr>
        <w:instrText xml:space="preserve"> </w:instrText>
      </w:r>
      <w:r>
        <w:rPr>
          <w:rFonts w:hint="eastAsia" w:ascii="MS Gothic" w:hAnsi="MS Gothic" w:eastAsia="宋体" w:cs="MS Gothic"/>
          <w:b/>
          <w:szCs w:val="21"/>
        </w:rPr>
        <w:instrText xml:space="preserve">= 1 \* GB3</w:instrText>
      </w:r>
      <w:r>
        <w:rPr>
          <w:rFonts w:ascii="MS Gothic" w:hAnsi="MS Gothic" w:eastAsia="宋体" w:cs="MS Gothic"/>
          <w:b/>
          <w:szCs w:val="21"/>
        </w:rPr>
        <w:instrText xml:space="preserve"> </w:instrText>
      </w:r>
      <w:r>
        <w:rPr>
          <w:rFonts w:ascii="MS Gothic" w:hAnsi="MS Gothic" w:eastAsia="MS Gothic" w:cs="MS Gothic"/>
          <w:b/>
          <w:szCs w:val="21"/>
        </w:rPr>
        <w:fldChar w:fldCharType="separate"/>
      </w:r>
      <w:r>
        <w:rPr>
          <w:rFonts w:hint="eastAsia" w:ascii="MS Gothic" w:hAnsi="MS Gothic" w:eastAsia="宋体" w:cs="MS Gothic"/>
          <w:b/>
          <w:szCs w:val="21"/>
        </w:rPr>
        <w:t>①</w:t>
      </w:r>
      <w:r>
        <w:rPr>
          <w:rFonts w:ascii="MS Gothic" w:hAnsi="MS Gothic" w:eastAsia="MS Gothic" w:cs="MS Gothic"/>
          <w:b/>
          <w:szCs w:val="21"/>
        </w:rPr>
        <w:fldChar w:fldCharType="end"/>
      </w:r>
      <w:r>
        <w:rPr>
          <w:rFonts w:hint="eastAsia"/>
          <w:b/>
          <w:szCs w:val="21"/>
        </w:rPr>
        <w:t>学科核心素养导向下的初中化学单元教学设计转变了教师的思想观念。</w:t>
      </w:r>
      <w:r>
        <w:rPr>
          <w:rFonts w:hint="eastAsia"/>
          <w:szCs w:val="21"/>
        </w:rPr>
        <w:t>课题研究需要对学科</w:t>
      </w:r>
      <w:r>
        <w:rPr>
          <w:rFonts w:hint="eastAsia" w:cs="MS Gothic" w:asciiTheme="minorEastAsia" w:hAnsiTheme="minorEastAsia"/>
          <w:szCs w:val="21"/>
        </w:rPr>
        <w:t>核心素养如何落地进行研究，</w:t>
      </w:r>
      <w:r>
        <w:rPr>
          <w:rFonts w:hint="eastAsia"/>
          <w:szCs w:val="21"/>
        </w:rPr>
        <w:t>随着义教新课标出台、新课标新教材也陆续出版，我国的基础教育课程改革不断走向深化，教师的教学思想观念也必然发生改变。目前中学化学已由2</w:t>
      </w:r>
      <w:r>
        <w:rPr>
          <w:szCs w:val="21"/>
        </w:rPr>
        <w:t>003</w:t>
      </w:r>
      <w:r>
        <w:rPr>
          <w:rFonts w:hint="eastAsia"/>
          <w:szCs w:val="21"/>
        </w:rPr>
        <w:t>年第八次课改提出的“知识与技能、过程与方法、情感态度价值观“为教学目标逐步向以“化学观念、</w:t>
      </w:r>
      <w:r>
        <w:rPr>
          <w:rFonts w:hint="eastAsia"/>
          <w:bCs/>
          <w:szCs w:val="21"/>
        </w:rPr>
        <w:t>科学思维、科学态度与责任、科学探究与实践</w:t>
      </w:r>
      <w:r>
        <w:rPr>
          <w:bCs/>
          <w:szCs w:val="21"/>
        </w:rPr>
        <w:t>”</w:t>
      </w:r>
      <w:r>
        <w:rPr>
          <w:rFonts w:hint="eastAsia"/>
          <w:bCs/>
          <w:szCs w:val="21"/>
        </w:rPr>
        <w:t>等核心素养</w:t>
      </w:r>
      <w:r>
        <w:rPr>
          <w:rFonts w:hint="eastAsia"/>
          <w:szCs w:val="21"/>
        </w:rPr>
        <w:t>发展的方向发展。这一转变要求教师在教学理念上进行相应的调整，从传统的知识灌输转向以学生为本，注重培养学生的核心素养。初中化学教材多采用单元或专题的形式，对其进行单元整体性教学是有必要且合理的，这种教学模式强调知识的内在联系和系统性，有助于教师构建更加高效、科学的化学课堂</w:t>
      </w:r>
      <w:r>
        <w:rPr>
          <w:rFonts w:hint="eastAsia" w:ascii="MS Gothic" w:hAnsi="MS Gothic" w:eastAsia="MS Gothic" w:cs="MS Gothic"/>
          <w:szCs w:val="21"/>
        </w:rPr>
        <w:t>‌</w:t>
      </w:r>
      <w:r>
        <w:rPr>
          <w:rFonts w:hint="eastAsia" w:cs="MS Gothic" w:asciiTheme="minorEastAsia" w:hAnsiTheme="minorEastAsia"/>
          <w:szCs w:val="21"/>
        </w:rPr>
        <w:t>。</w:t>
      </w:r>
      <w:r>
        <w:rPr>
          <w:rFonts w:ascii="MS Gothic" w:hAnsi="MS Gothic" w:eastAsia="MS Gothic" w:cs="MS Gothic"/>
          <w:b/>
          <w:szCs w:val="21"/>
        </w:rPr>
        <w:fldChar w:fldCharType="begin"/>
      </w:r>
      <w:r>
        <w:rPr>
          <w:rFonts w:ascii="MS Gothic" w:hAnsi="MS Gothic" w:eastAsia="宋体" w:cs="MS Gothic"/>
          <w:b/>
          <w:szCs w:val="21"/>
        </w:rPr>
        <w:instrText xml:space="preserve"> </w:instrText>
      </w:r>
      <w:r>
        <w:rPr>
          <w:rFonts w:hint="eastAsia" w:ascii="MS Gothic" w:hAnsi="MS Gothic" w:eastAsia="宋体" w:cs="MS Gothic"/>
          <w:b/>
          <w:szCs w:val="21"/>
        </w:rPr>
        <w:instrText xml:space="preserve">= 2 \* GB3</w:instrText>
      </w:r>
      <w:r>
        <w:rPr>
          <w:rFonts w:ascii="MS Gothic" w:hAnsi="MS Gothic" w:eastAsia="宋体" w:cs="MS Gothic"/>
          <w:b/>
          <w:szCs w:val="21"/>
        </w:rPr>
        <w:instrText xml:space="preserve"> </w:instrText>
      </w:r>
      <w:r>
        <w:rPr>
          <w:rFonts w:ascii="MS Gothic" w:hAnsi="MS Gothic" w:eastAsia="MS Gothic" w:cs="MS Gothic"/>
          <w:b/>
          <w:szCs w:val="21"/>
        </w:rPr>
        <w:fldChar w:fldCharType="separate"/>
      </w:r>
      <w:r>
        <w:rPr>
          <w:rFonts w:hint="eastAsia" w:ascii="MS Gothic" w:hAnsi="MS Gothic" w:eastAsia="宋体" w:cs="MS Gothic"/>
          <w:b/>
          <w:szCs w:val="21"/>
        </w:rPr>
        <w:t>②</w:t>
      </w:r>
      <w:r>
        <w:rPr>
          <w:rFonts w:ascii="MS Gothic" w:hAnsi="MS Gothic" w:eastAsia="MS Gothic" w:cs="MS Gothic"/>
          <w:b/>
          <w:szCs w:val="21"/>
        </w:rPr>
        <w:fldChar w:fldCharType="end"/>
      </w:r>
      <w:r>
        <w:rPr>
          <w:rFonts w:hint="eastAsia"/>
          <w:b/>
          <w:szCs w:val="21"/>
        </w:rPr>
        <w:t>学科核心素养导向下的初中化学单元教学实践转变了教师的思想观念。</w:t>
      </w:r>
      <w:r>
        <w:rPr>
          <w:rFonts w:hint="eastAsia"/>
          <w:szCs w:val="21"/>
        </w:rPr>
        <w:t>在核心素养导向下的初中化学单元教学实践中，教师需要不断更新教学观念，优化教学思路。他们开始意识到，化学教学的目的不仅仅是传授知识，更重要的是培养学生的化学观念、科学思维、科学态度与责任、科学探究与实践等核心素养。这种转变使得教师在教学过程中更加注重学生的主体地位，鼓励学生主动探索、实践和创新，从而激发学生的学习兴趣和积极性</w:t>
      </w:r>
      <w:r>
        <w:rPr>
          <w:rFonts w:hint="eastAsia" w:ascii="MS Gothic" w:hAnsi="MS Gothic" w:eastAsia="MS Gothic" w:cs="MS Gothic"/>
          <w:szCs w:val="21"/>
        </w:rPr>
        <w:t>‌</w:t>
      </w:r>
      <w:r>
        <w:rPr>
          <w:rFonts w:hint="eastAsia" w:cs="MS Gothic" w:asciiTheme="minorEastAsia" w:hAnsiTheme="minorEastAsia"/>
          <w:szCs w:val="21"/>
        </w:rPr>
        <w:t>。</w:t>
      </w:r>
      <w:r>
        <w:rPr>
          <w:rFonts w:ascii="MS Gothic" w:hAnsi="MS Gothic" w:eastAsia="MS Gothic" w:cs="MS Gothic"/>
          <w:b/>
          <w:szCs w:val="21"/>
        </w:rPr>
        <w:fldChar w:fldCharType="begin"/>
      </w:r>
      <w:r>
        <w:rPr>
          <w:rFonts w:ascii="MS Gothic" w:hAnsi="MS Gothic" w:eastAsia="宋体" w:cs="MS Gothic"/>
          <w:b/>
          <w:szCs w:val="21"/>
        </w:rPr>
        <w:instrText xml:space="preserve"> </w:instrText>
      </w:r>
      <w:r>
        <w:rPr>
          <w:rFonts w:hint="eastAsia" w:ascii="MS Gothic" w:hAnsi="MS Gothic" w:eastAsia="宋体" w:cs="MS Gothic"/>
          <w:b/>
          <w:szCs w:val="21"/>
        </w:rPr>
        <w:instrText xml:space="preserve">= 3 \* GB3</w:instrText>
      </w:r>
      <w:r>
        <w:rPr>
          <w:rFonts w:ascii="MS Gothic" w:hAnsi="MS Gothic" w:eastAsia="宋体" w:cs="MS Gothic"/>
          <w:b/>
          <w:szCs w:val="21"/>
        </w:rPr>
        <w:instrText xml:space="preserve"> </w:instrText>
      </w:r>
      <w:r>
        <w:rPr>
          <w:rFonts w:ascii="MS Gothic" w:hAnsi="MS Gothic" w:eastAsia="MS Gothic" w:cs="MS Gothic"/>
          <w:b/>
          <w:szCs w:val="21"/>
        </w:rPr>
        <w:fldChar w:fldCharType="separate"/>
      </w:r>
      <w:r>
        <w:rPr>
          <w:rFonts w:hint="eastAsia" w:ascii="MS Gothic" w:hAnsi="MS Gothic" w:eastAsia="宋体" w:cs="MS Gothic"/>
          <w:b/>
          <w:szCs w:val="21"/>
        </w:rPr>
        <w:t>③</w:t>
      </w:r>
      <w:r>
        <w:rPr>
          <w:rFonts w:ascii="MS Gothic" w:hAnsi="MS Gothic" w:eastAsia="MS Gothic" w:cs="MS Gothic"/>
          <w:b/>
          <w:szCs w:val="21"/>
        </w:rPr>
        <w:fldChar w:fldCharType="end"/>
      </w:r>
      <w:r>
        <w:rPr>
          <w:rFonts w:hint="eastAsia" w:cs="MS Gothic" w:asciiTheme="minorEastAsia" w:hAnsiTheme="minorEastAsia"/>
          <w:b/>
          <w:szCs w:val="21"/>
        </w:rPr>
        <w:t>大概念统领下的</w:t>
      </w:r>
      <w:r>
        <w:rPr>
          <w:rFonts w:hint="eastAsia"/>
          <w:b/>
          <w:szCs w:val="21"/>
        </w:rPr>
        <w:t>学科核心素养导向目标的创新教学方式实践研究转变了教师的思想观念。</w:t>
      </w:r>
      <w:r>
        <w:rPr>
          <w:rFonts w:hint="eastAsia"/>
          <w:szCs w:val="21"/>
        </w:rPr>
        <w:t>核心素养导向下的初中化学单元教学实践还推动了教师教学方法的创新。教师不再仅仅依赖于传统的讲授式教学，而是开始尝试运用多种教学方法和手段，如主题式教学、项目式学习、实验教学、探究式教学、合作学习、跨学科实践活动等</w:t>
      </w:r>
      <w:r>
        <w:rPr>
          <w:rFonts w:hint="eastAsia" w:cs="MS Gothic" w:asciiTheme="minorEastAsia" w:hAnsiTheme="minorEastAsia"/>
          <w:szCs w:val="21"/>
        </w:rPr>
        <w:t>，以更好地培养学生的核心素养。这种教学方法的创新不仅提高了教学效果，还使得教师在教学过程中不断学习和成长，提升了自身的专业素养和教学能力</w:t>
      </w:r>
      <w:r>
        <w:rPr>
          <w:rFonts w:hint="eastAsia" w:ascii="MS Gothic" w:hAnsi="MS Gothic" w:eastAsia="MS Gothic" w:cs="MS Gothic"/>
          <w:szCs w:val="21"/>
        </w:rPr>
        <w:t>‌</w:t>
      </w:r>
      <w:r>
        <w:rPr>
          <w:rFonts w:hint="eastAsia" w:cs="MS Gothic" w:asciiTheme="minorEastAsia" w:hAnsiTheme="minorEastAsia"/>
          <w:szCs w:val="21"/>
        </w:rPr>
        <w:t>，教师的学习观、教师观、教学观、评价观都发生了转变，推动了化学教学的改革和创新。</w:t>
      </w:r>
    </w:p>
    <w:p w14:paraId="732AC168">
      <w:pPr>
        <w:ind w:firstLine="420" w:firstLineChars="200"/>
        <w:rPr>
          <w:b/>
          <w:szCs w:val="21"/>
        </w:rPr>
      </w:pPr>
      <w:r>
        <w:rPr>
          <w:rFonts w:hint="eastAsia"/>
          <w:b/>
          <w:szCs w:val="21"/>
        </w:rPr>
        <w:t>3. 学科核心素养导向下的初中化学单元教学实践研究形成了单元教学的一般模型</w:t>
      </w:r>
    </w:p>
    <w:p w14:paraId="0C764CC4">
      <w:pPr>
        <w:ind w:firstLine="420" w:firstLineChars="200"/>
        <w:rPr>
          <w:rFonts w:hint="eastAsia"/>
          <w:bCs/>
          <w:szCs w:val="21"/>
        </w:rPr>
      </w:pPr>
      <w:r>
        <w:rPr>
          <w:rFonts w:hint="eastAsia"/>
          <w:bCs/>
          <w:szCs w:val="21"/>
        </w:rPr>
        <w:t>通过学科核心素养导向下的初中化学单元教学实践，课题组提炼出了可视化的教学结构一般模型。3年来，课题组成员紧紧围绕课题展开了探索和实践，形成了对学科核心素养导向下的初中化学单元教学实践的一般研究流程与模型，利于经验的推广与应用。</w:t>
      </w:r>
    </w:p>
    <w:p w14:paraId="0AEFA359">
      <w:pPr>
        <w:jc w:val="center"/>
        <w:rPr>
          <w:rFonts w:hint="eastAsia" w:ascii="楷体" w:hAnsi="楷体" w:eastAsia="楷体" w:cs="楷体"/>
          <w:bCs/>
          <w:szCs w:val="21"/>
          <w:lang w:val="en-US" w:eastAsia="zh-CN"/>
        </w:rPr>
      </w:pPr>
      <w:r>
        <w:rPr>
          <w:rFonts w:hint="eastAsia" w:ascii="楷体" w:hAnsi="楷体" w:eastAsia="楷体" w:cs="楷体"/>
          <w:bCs/>
          <w:szCs w:val="21"/>
          <w:lang w:val="en-US" w:eastAsia="zh-CN"/>
        </w:rPr>
        <w:t xml:space="preserve">表3 </w:t>
      </w:r>
      <w:r>
        <w:rPr>
          <w:rFonts w:hint="eastAsia" w:ascii="楷体" w:hAnsi="楷体" w:eastAsia="楷体" w:cs="楷体"/>
          <w:bCs/>
          <w:szCs w:val="21"/>
        </w:rPr>
        <w:t>学科核心素养导向下的初中化学单元教学实践的一般研究流程与模型</w:t>
      </w:r>
    </w:p>
    <w:tbl>
      <w:tblPr>
        <w:tblStyle w:val="12"/>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4561"/>
      </w:tblGrid>
      <w:tr w14:paraId="3B2B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00" w:type="dxa"/>
            <w:gridSpan w:val="2"/>
          </w:tcPr>
          <w:p w14:paraId="5BA043EA">
            <w:pPr>
              <w:spacing w:line="360" w:lineRule="auto"/>
              <w:ind w:firstLine="360"/>
              <w:jc w:val="center"/>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阶段1  预期结果</w:t>
            </w:r>
          </w:p>
        </w:tc>
      </w:tr>
      <w:tr w14:paraId="51BC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100" w:type="dxa"/>
            <w:gridSpan w:val="2"/>
          </w:tcPr>
          <w:p w14:paraId="19C73663">
            <w:pPr>
              <w:spacing w:line="360" w:lineRule="auto"/>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所确定的目标：（大概念）</w:t>
            </w:r>
          </w:p>
        </w:tc>
      </w:tr>
      <w:tr w14:paraId="2D4D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14:paraId="204767C4">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我们需要思考的基本问题：（本原性问题）</w:t>
            </w:r>
          </w:p>
          <w:p w14:paraId="2D512BC1">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●如何研究*</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1646E449">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●如何研究*</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2A4506B9">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●如何研究*</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155C16A0">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18"/>
                <w:szCs w:val="18"/>
                <w:shd w:val="clear" w:color="auto" w:fill="FFFFFF"/>
                <w14:textFill>
                  <w14:solidFill>
                    <w14:schemeClr w14:val="tx1"/>
                  </w14:solidFill>
                </w14:textFill>
              </w:rPr>
              <w:t>如何研究*</w:t>
            </w:r>
            <w:r>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t>**</w:t>
            </w:r>
            <w:r>
              <w:rPr>
                <w:rFonts w:hint="eastAsia" w:ascii="Times New Roman" w:hAnsi="Times New Roman" w:eastAsia="宋体" w:cs="Times New Roman"/>
                <w:color w:val="000000" w:themeColor="text1"/>
                <w:kern w:val="0"/>
                <w:sz w:val="18"/>
                <w:szCs w:val="18"/>
                <w:shd w:val="clear" w:color="auto" w:fill="FFFFFF"/>
                <w14:textFill>
                  <w14:solidFill>
                    <w14:schemeClr w14:val="tx1"/>
                  </w14:solidFill>
                </w14:textFill>
              </w:rPr>
              <w:t>（实验探究）</w:t>
            </w:r>
          </w:p>
          <w:p w14:paraId="03692AA9">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18"/>
                <w:szCs w:val="18"/>
                <w:shd w:val="clear" w:color="auto" w:fill="FFFFFF"/>
                <w14:textFill>
                  <w14:solidFill>
                    <w14:schemeClr w14:val="tx1"/>
                  </w14:solidFill>
                </w14:textFill>
              </w:rPr>
              <w:t>认识*</w:t>
            </w:r>
            <w:r>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t>**</w:t>
            </w:r>
            <w:r>
              <w:rPr>
                <w:rFonts w:hint="eastAsia" w:ascii="Times New Roman" w:hAnsi="Times New Roman" w:eastAsia="宋体" w:cs="Times New Roman"/>
                <w:color w:val="000000" w:themeColor="text1"/>
                <w:kern w:val="0"/>
                <w:sz w:val="18"/>
                <w:szCs w:val="18"/>
                <w:shd w:val="clear" w:color="auto" w:fill="FFFFFF"/>
                <w14:textFill>
                  <w14:solidFill>
                    <w14:schemeClr w14:val="tx1"/>
                  </w14:solidFill>
                </w14:textFill>
              </w:rPr>
              <w:t>的一般思路与方法是什么？</w:t>
            </w:r>
            <w:r>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t xml:space="preserve"> </w:t>
            </w:r>
          </w:p>
        </w:tc>
        <w:tc>
          <w:tcPr>
            <w:tcW w:w="4561" w:type="dxa"/>
          </w:tcPr>
          <w:p w14:paraId="60C259AB">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学生将理解：</w:t>
            </w:r>
          </w:p>
          <w:p w14:paraId="44D161A0">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通过</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***等直观手段，联系常见的</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**，感受</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**；逐步形成基于</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****视角。</w:t>
            </w:r>
          </w:p>
          <w:p w14:paraId="00954CAE">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通过典型实例，能基于</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***进行分析、解释和创意设计，形成“</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化学</w:t>
            </w:r>
            <w:r>
              <w:rPr>
                <w:rFonts w:ascii="宋体" w:hAnsi="宋体" w:eastAsia="宋体" w:cs="宋体"/>
                <w:color w:val="000000" w:themeColor="text1"/>
                <w:kern w:val="0"/>
                <w:sz w:val="18"/>
                <w:szCs w:val="18"/>
                <w:shd w:val="clear" w:color="auto" w:fill="FFFFFF"/>
                <w14:textFill>
                  <w14:solidFill>
                    <w14:schemeClr w14:val="tx1"/>
                  </w14:solidFill>
                </w14:textFill>
              </w:rPr>
              <w:t>观念。</w:t>
            </w:r>
          </w:p>
          <w:p w14:paraId="4F7A17E0">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●通过</w:t>
            </w:r>
            <w:r>
              <w:rPr>
                <w:rFonts w:ascii="宋体" w:hAnsi="宋体" w:eastAsia="宋体" w:cs="宋体"/>
                <w:color w:val="000000" w:themeColor="text1"/>
                <w:kern w:val="0"/>
                <w:sz w:val="18"/>
                <w:szCs w:val="18"/>
                <w:shd w:val="clear" w:color="auto" w:fill="FFFFFF"/>
                <w14:textFill>
                  <w14:solidFill>
                    <w14:schemeClr w14:val="tx1"/>
                  </w14:solidFill>
                </w14:textFill>
              </w:rPr>
              <w:t>必做实验的功能，经历完整的探究过程；在反思和交流的基础上，提炼研究</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**的一般思路与方法。</w:t>
            </w:r>
          </w:p>
        </w:tc>
      </w:tr>
      <w:tr w14:paraId="4CCC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14:paraId="0BBFD03B">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学生将会知道：(知识）</w:t>
            </w:r>
          </w:p>
          <w:p w14:paraId="41CD803D">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●1</w:t>
            </w:r>
          </w:p>
          <w:p w14:paraId="22487897">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●2</w:t>
            </w:r>
          </w:p>
          <w:p w14:paraId="11D9D17B">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●3</w:t>
            </w:r>
          </w:p>
          <w:p w14:paraId="0E8F2705">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●4</w:t>
            </w:r>
          </w:p>
          <w:p w14:paraId="77231B60">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●5</w:t>
            </w:r>
          </w:p>
          <w:p w14:paraId="0A5552EF">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13B31BB0">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p>
        </w:tc>
        <w:tc>
          <w:tcPr>
            <w:tcW w:w="4561" w:type="dxa"/>
          </w:tcPr>
          <w:p w14:paraId="7BC0D338">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学生将能够：……（技能）</w:t>
            </w:r>
          </w:p>
          <w:p w14:paraId="35835A73">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能通过实验说明</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***的主要性质，并能用表达式表示；</w:t>
            </w:r>
          </w:p>
          <w:p w14:paraId="58094806">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能举例说明</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***性质的广泛应用及性质与用途的关系；</w:t>
            </w:r>
          </w:p>
          <w:p w14:paraId="0524B836">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能利用常见</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**的性质，分析、解释一些简单的化学现象和事实；</w:t>
            </w:r>
          </w:p>
          <w:p w14:paraId="4AD9AA0E">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能设计简单实验，制备并检验</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w:t>
            </w:r>
          </w:p>
          <w:p w14:paraId="00BB3CB8">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能初步运用研究</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***性质的一般思路与方法，设计实验方案，分析、解释有关的实验现象，进行证据推理，得出合理的结论。</w:t>
            </w:r>
          </w:p>
          <w:p w14:paraId="3095313F">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能基于真实问题情境，依据常见</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***的性质，初步分析和解决相关的综合问题；</w:t>
            </w:r>
          </w:p>
          <w:p w14:paraId="1EAC7B15">
            <w:pPr>
              <w:ind w:firstLine="360"/>
              <w:rPr>
                <w:rFonts w:ascii="Times New Roman" w:hAnsi="Times New Roman" w:eastAsia="宋体" w:cs="Times New Roman"/>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能基于</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**的性质和用途，从辩证的角度，初步分析和评价物质的实际应用，对</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r>
              <w:rPr>
                <w:rFonts w:ascii="宋体" w:hAnsi="宋体" w:eastAsia="宋体" w:cs="宋体"/>
                <w:color w:val="000000" w:themeColor="text1"/>
                <w:kern w:val="0"/>
                <w:sz w:val="18"/>
                <w:szCs w:val="18"/>
                <w:shd w:val="clear" w:color="auto" w:fill="FFFFFF"/>
                <w14:textFill>
                  <w14:solidFill>
                    <w14:schemeClr w14:val="tx1"/>
                  </w14:solidFill>
                </w14:textFill>
              </w:rPr>
              <w:t>*****等社会性科学议题展开讨论。</w:t>
            </w:r>
          </w:p>
          <w:p w14:paraId="380750F1">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●能根据实验探究的思路或过程，撰写简单的科学探究实验报告。</w:t>
            </w:r>
          </w:p>
          <w:p w14:paraId="651CF636">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●遵守规则，操作规范地进行常见*</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的制备及性质探究。</w:t>
            </w:r>
          </w:p>
          <w:p w14:paraId="094F6EE5">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●分析解决真实情境中的简单化学问题。</w:t>
            </w:r>
          </w:p>
        </w:tc>
      </w:tr>
      <w:tr w14:paraId="4A69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0" w:type="dxa"/>
            <w:gridSpan w:val="2"/>
          </w:tcPr>
          <w:p w14:paraId="1F9A78AE">
            <w:pPr>
              <w:spacing w:line="360" w:lineRule="auto"/>
              <w:ind w:firstLine="360"/>
              <w:jc w:val="center"/>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阶段2  评估证据</w:t>
            </w:r>
          </w:p>
        </w:tc>
      </w:tr>
      <w:tr w14:paraId="3441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14:paraId="2583BCB1">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表现性评价：</w:t>
            </w:r>
          </w:p>
          <w:p w14:paraId="5C4FF75F">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一、我们已经知道*</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77230E54">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（1）你能否设计一个实验验证*</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w:t>
            </w:r>
          </w:p>
          <w:p w14:paraId="5B6D9BF5">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（2）实验中还有*</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发生了改变？</w:t>
            </w:r>
          </w:p>
          <w:p w14:paraId="01E090F9">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你能设计一个实验验证你的猜想吗？</w:t>
            </w:r>
          </w:p>
          <w:p w14:paraId="5C69B39F">
            <w:pPr>
              <w:numPr>
                <w:ilvl w:val="0"/>
                <w:numId w:val="0"/>
              </w:numPr>
              <w:ind w:firstLine="360" w:firstLineChars="20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lang w:val="en-US" w:eastAsia="zh-CN"/>
                <w14:textFill>
                  <w14:solidFill>
                    <w14:schemeClr w14:val="tx1"/>
                  </w14:solidFill>
                </w14:textFill>
              </w:rPr>
              <w:t>二、</w:t>
            </w:r>
            <w:r>
              <w:rPr>
                <w:rFonts w:hint="eastAsia" w:ascii="宋体" w:hAnsi="宋体" w:eastAsia="宋体" w:cs="宋体"/>
                <w:color w:val="000000" w:themeColor="text1"/>
                <w:kern w:val="0"/>
                <w:sz w:val="18"/>
                <w:szCs w:val="18"/>
                <w:shd w:val="clear" w:color="auto" w:fill="FFFFFF"/>
                <w14:textFill>
                  <w14:solidFill>
                    <w14:schemeClr w14:val="tx1"/>
                  </w14:solidFill>
                </w14:textFill>
              </w:rPr>
              <w:t>跨学科实践活动</w:t>
            </w:r>
          </w:p>
          <w:p w14:paraId="1EA50858">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调查和研究当地*</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状况和存在的主要问题以及解决方法。</w:t>
            </w:r>
          </w:p>
        </w:tc>
        <w:tc>
          <w:tcPr>
            <w:tcW w:w="4561" w:type="dxa"/>
          </w:tcPr>
          <w:p w14:paraId="0EBCB42C">
            <w:pPr>
              <w:ind w:firstLine="360"/>
              <w:rPr>
                <w:rFonts w:ascii="宋体" w:hAnsi="宋体" w:eastAsia="宋体" w:cs="宋体"/>
                <w:b/>
                <w:bCs/>
                <w:color w:val="000000" w:themeColor="text1"/>
                <w:kern w:val="0"/>
                <w:sz w:val="18"/>
                <w:szCs w:val="18"/>
                <w:shd w:val="clear" w:color="auto" w:fill="FFFFFF"/>
                <w14:textFill>
                  <w14:solidFill>
                    <w14:schemeClr w14:val="tx1"/>
                  </w14:solidFill>
                </w14:textFill>
              </w:rPr>
            </w:pPr>
            <w:r>
              <w:rPr>
                <w:rFonts w:hint="eastAsia" w:ascii="宋体" w:hAnsi="宋体" w:eastAsia="宋体" w:cs="宋体"/>
                <w:b/>
                <w:bCs/>
                <w:color w:val="000000" w:themeColor="text1"/>
                <w:kern w:val="0"/>
                <w:sz w:val="18"/>
                <w:szCs w:val="18"/>
                <w:shd w:val="clear" w:color="auto" w:fill="FFFFFF"/>
                <w14:textFill>
                  <w14:solidFill>
                    <w14:schemeClr w14:val="tx1"/>
                  </w14:solidFill>
                </w14:textFill>
              </w:rPr>
              <w:t>其他证据：</w:t>
            </w:r>
          </w:p>
          <w:p w14:paraId="686BD3D7">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问答题——在*</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里检测*</w:t>
            </w:r>
            <w:r>
              <w:rPr>
                <w:rFonts w:ascii="宋体" w:hAnsi="宋体" w:eastAsia="宋体" w:cs="宋体"/>
                <w:color w:val="000000" w:themeColor="text1"/>
                <w:kern w:val="0"/>
                <w:sz w:val="18"/>
                <w:szCs w:val="18"/>
                <w:shd w:val="clear" w:color="auto" w:fill="FFFFFF"/>
                <w14:textFill>
                  <w14:solidFill>
                    <w14:schemeClr w14:val="tx1"/>
                  </w14:solidFill>
                </w14:textFill>
              </w:rPr>
              <w:t>*</w:t>
            </w:r>
            <w:r>
              <w:rPr>
                <w:rFonts w:hint="eastAsia" w:ascii="宋体" w:hAnsi="宋体" w:eastAsia="宋体" w:cs="宋体"/>
                <w:color w:val="000000" w:themeColor="text1"/>
                <w:kern w:val="0"/>
                <w:sz w:val="18"/>
                <w:szCs w:val="18"/>
                <w:shd w:val="clear" w:color="auto" w:fill="FFFFFF"/>
                <w14:textFill>
                  <w14:solidFill>
                    <w14:schemeClr w14:val="tx1"/>
                  </w14:solidFill>
                </w14:textFill>
              </w:rPr>
              <w:t>，你知道这样做的目的是什么吗？</w:t>
            </w:r>
          </w:p>
          <w:p w14:paraId="6127B6BA">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随堂测验和考试：以选择题、判断题、连线题或填空题等题型的形式，对本单元的事实性知识和基本实验技能进行评估。</w:t>
            </w:r>
          </w:p>
          <w:p w14:paraId="1D103DBF">
            <w:pPr>
              <w:ind w:firstLine="360"/>
              <w:rPr>
                <w:rFonts w:ascii="宋体" w:hAnsi="宋体" w:eastAsia="宋体" w:cs="宋体"/>
                <w:color w:val="000000" w:themeColor="text1"/>
                <w:kern w:val="0"/>
                <w:sz w:val="18"/>
                <w:szCs w:val="18"/>
                <w:shd w:val="clear" w:color="auto" w:fill="FFFFFF"/>
                <w14:textFill>
                  <w14:solidFill>
                    <w14:schemeClr w14:val="tx1"/>
                  </w14:solidFill>
                </w14:textFill>
              </w:rPr>
            </w:pPr>
            <w:r>
              <w:rPr>
                <w:rFonts w:hint="eastAsia" w:ascii="宋体" w:hAnsi="宋体" w:eastAsia="宋体" w:cs="宋体"/>
                <w:color w:val="000000" w:themeColor="text1"/>
                <w:kern w:val="0"/>
                <w:sz w:val="18"/>
                <w:szCs w:val="18"/>
                <w:shd w:val="clear" w:color="auto" w:fill="FFFFFF"/>
                <w14:textFill>
                  <w14:solidFill>
                    <w14:schemeClr w14:val="tx1"/>
                  </w14:solidFill>
                </w14:textFill>
              </w:rPr>
              <w:t>非正式检查：教学过程中采用口头提问、追问、观察与对话、作业反馈等不分等级的、连续的、形成性的非正式评估，及时揭示学生的理解和误解，了解学生的情况。</w:t>
            </w:r>
          </w:p>
        </w:tc>
      </w:tr>
    </w:tbl>
    <w:p w14:paraId="619EAC80">
      <w:pPr>
        <w:ind w:firstLine="420" w:firstLineChars="200"/>
        <w:rPr>
          <w:b/>
          <w:bCs w:val="0"/>
          <w:szCs w:val="21"/>
        </w:rPr>
      </w:pPr>
      <w:r>
        <w:rPr>
          <w:rFonts w:hint="eastAsia"/>
          <w:b/>
          <w:bCs w:val="0"/>
          <w:szCs w:val="21"/>
        </w:rPr>
        <w:t>（二）实践成果</w:t>
      </w:r>
    </w:p>
    <w:p w14:paraId="79865E1A">
      <w:pPr>
        <w:ind w:firstLine="420" w:firstLineChars="200"/>
        <w:rPr>
          <w:b/>
          <w:bCs w:val="0"/>
          <w:szCs w:val="21"/>
        </w:rPr>
      </w:pPr>
      <w:r>
        <w:rPr>
          <w:rFonts w:hint="eastAsia"/>
          <w:b/>
          <w:bCs w:val="0"/>
          <w:szCs w:val="21"/>
        </w:rPr>
        <w:t>1. 完成了沪教版义务教育化学课程单元教学实施纲要整套路径图谱（附件</w:t>
      </w:r>
      <w:r>
        <w:rPr>
          <w:rFonts w:hint="eastAsia"/>
          <w:b/>
          <w:bCs w:val="0"/>
          <w:szCs w:val="21"/>
          <w:lang w:val="en-US" w:eastAsia="zh-CN"/>
        </w:rPr>
        <w:t>1</w:t>
      </w:r>
      <w:r>
        <w:rPr>
          <w:rFonts w:hint="eastAsia"/>
          <w:b/>
          <w:bCs w:val="0"/>
          <w:szCs w:val="21"/>
        </w:rPr>
        <w:t>）</w:t>
      </w:r>
    </w:p>
    <w:p w14:paraId="7E6FE888">
      <w:pPr>
        <w:ind w:firstLine="420" w:firstLineChars="200"/>
        <w:rPr>
          <w:b w:val="0"/>
          <w:bCs/>
          <w:szCs w:val="21"/>
        </w:rPr>
      </w:pPr>
      <w:r>
        <w:rPr>
          <w:rFonts w:hint="eastAsia"/>
          <w:b w:val="0"/>
          <w:bCs/>
          <w:szCs w:val="21"/>
        </w:rPr>
        <w:t>案例：以《</w:t>
      </w:r>
      <w:r>
        <w:rPr>
          <w:rFonts w:hint="eastAsia"/>
          <w:b w:val="0"/>
          <w:bCs/>
          <w:szCs w:val="21"/>
          <w:lang w:val="en-US" w:eastAsia="zh-CN"/>
        </w:rPr>
        <w:t>身边的化学物质</w:t>
      </w:r>
      <w:r>
        <w:rPr>
          <w:rFonts w:hint="eastAsia"/>
          <w:b w:val="0"/>
          <w:bCs/>
          <w:szCs w:val="21"/>
        </w:rPr>
        <w:t>》大单元教学教学设计为例，整个单元共7各课时。</w:t>
      </w:r>
    </w:p>
    <w:tbl>
      <w:tblPr>
        <w:tblStyle w:val="12"/>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2"/>
      </w:tblGrid>
      <w:tr w14:paraId="730E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2" w:type="dxa"/>
          </w:tcPr>
          <w:p w14:paraId="58E38D57">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r>
              <w:rPr>
                <w:rFonts w:hint="eastAsia" w:ascii="宋体" w:hAnsi="宋体" w:eastAsia="宋体" w:cs="宋体"/>
                <w:b/>
                <w:bCs/>
                <w:color w:val="000000" w:themeColor="text1"/>
                <w:kern w:val="0"/>
                <w:sz w:val="21"/>
                <w:szCs w:val="21"/>
                <w:shd w:val="clear" w:color="auto" w:fill="FFFFFF"/>
                <w14:textFill>
                  <w14:solidFill>
                    <w14:schemeClr w14:val="tx1"/>
                  </w14:solidFill>
                </w14:textFill>
              </w:rPr>
              <w:t>阶段3  学习活动</w:t>
            </w:r>
          </w:p>
        </w:tc>
      </w:tr>
      <w:tr w14:paraId="5FCA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2" w:type="dxa"/>
          </w:tcPr>
          <w:p w14:paraId="2A877837">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r>
              <w:rPr>
                <w:rFonts w:ascii="宋体" w:hAnsi="宋体" w:eastAsia="宋体" w:cs="宋体"/>
                <w:color w:val="000000" w:themeColor="text1"/>
                <w:kern w:val="0"/>
                <w:sz w:val="20"/>
                <w:szCs w:val="21"/>
                <w:shd w:val="clear" w:color="auto" w:fill="FFFFFF"/>
                <w14:textFill>
                  <w14:solidFill>
                    <w14:schemeClr w14:val="tx1"/>
                  </w14:solidFill>
                </w14:textFill>
              </w:rPr>
              <w:drawing>
                <wp:inline distT="0" distB="0" distL="0" distR="0">
                  <wp:extent cx="5063490" cy="3991610"/>
                  <wp:effectExtent l="0" t="0" r="3810" b="889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7"/>
                          <a:stretch>
                            <a:fillRect/>
                          </a:stretch>
                        </pic:blipFill>
                        <pic:spPr>
                          <a:xfrm>
                            <a:off x="0" y="0"/>
                            <a:ext cx="5063490" cy="3991662"/>
                          </a:xfrm>
                          <a:prstGeom prst="rect">
                            <a:avLst/>
                          </a:prstGeom>
                        </pic:spPr>
                      </pic:pic>
                    </a:graphicData>
                  </a:graphic>
                </wp:inline>
              </w:drawing>
            </w:r>
          </w:p>
          <w:p w14:paraId="118EB8A7">
            <w:pPr>
              <w:jc w:val="cente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t>图1 第1课时教学流程图</w:t>
            </w:r>
          </w:p>
          <w:p w14:paraId="1F99F7DB">
            <w:pPr>
              <w:spacing w:line="360" w:lineRule="auto"/>
              <w:jc w:val="both"/>
              <w:rPr>
                <w:rFonts w:ascii="宋体" w:hAnsi="宋体" w:eastAsia="宋体" w:cs="宋体"/>
                <w:color w:val="000000" w:themeColor="text1"/>
                <w:kern w:val="0"/>
                <w:sz w:val="20"/>
                <w:szCs w:val="21"/>
                <w:shd w:val="clear" w:color="auto" w:fill="FFFFFF"/>
                <w14:textFill>
                  <w14:solidFill>
                    <w14:schemeClr w14:val="tx1"/>
                  </w14:solidFill>
                </w14:textFill>
              </w:rPr>
            </w:pPr>
            <w:r>
              <w:rPr>
                <w:rFonts w:ascii="宋体" w:hAnsi="宋体" w:eastAsia="宋体" w:cs="宋体"/>
                <w:color w:val="000000" w:themeColor="text1"/>
                <w:kern w:val="0"/>
                <w:sz w:val="20"/>
                <w:szCs w:val="21"/>
                <w:shd w:val="clear" w:color="auto" w:fill="FFFFFF"/>
                <w14:textFill>
                  <w14:solidFill>
                    <w14:schemeClr w14:val="tx1"/>
                  </w14:solidFill>
                </w14:textFill>
              </w:rPr>
              <w:drawing>
                <wp:inline distT="0" distB="0" distL="0" distR="0">
                  <wp:extent cx="5070475" cy="3877310"/>
                  <wp:effectExtent l="0" t="0" r="15875" b="8890"/>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070475" cy="3877886"/>
                          </a:xfrm>
                          <a:prstGeom prst="rect">
                            <a:avLst/>
                          </a:prstGeom>
                        </pic:spPr>
                      </pic:pic>
                    </a:graphicData>
                  </a:graphic>
                </wp:inline>
              </w:drawing>
            </w:r>
          </w:p>
          <w:p w14:paraId="595CD25D">
            <w:pPr>
              <w:jc w:val="cente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t>图2 第2、3课时教学流程图</w:t>
            </w:r>
          </w:p>
          <w:p w14:paraId="76C54DA3">
            <w:pPr>
              <w:jc w:val="cente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pPr>
          </w:p>
          <w:p w14:paraId="17FD485F">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r>
              <w:rPr>
                <w:rFonts w:ascii="宋体" w:hAnsi="宋体" w:eastAsia="宋体" w:cs="宋体"/>
                <w:color w:val="000000" w:themeColor="text1"/>
                <w:kern w:val="0"/>
                <w:sz w:val="20"/>
                <w:szCs w:val="21"/>
                <w:shd w:val="clear" w:color="auto" w:fill="FFFFFF"/>
                <w14:textFill>
                  <w14:solidFill>
                    <w14:schemeClr w14:val="tx1"/>
                  </w14:solidFill>
                </w14:textFill>
              </w:rPr>
              <w:drawing>
                <wp:inline distT="0" distB="0" distL="0" distR="0">
                  <wp:extent cx="4856480" cy="3689985"/>
                  <wp:effectExtent l="0" t="0" r="1270" b="5715"/>
                  <wp:docPr id="94" name="picture" descr="descript"/>
                  <wp:cNvGraphicFramePr/>
                  <a:graphic xmlns:a="http://schemas.openxmlformats.org/drawingml/2006/main">
                    <a:graphicData uri="http://schemas.openxmlformats.org/drawingml/2006/picture">
                      <pic:pic xmlns:pic="http://schemas.openxmlformats.org/drawingml/2006/picture">
                        <pic:nvPicPr>
                          <pic:cNvPr id="94" name="picture" descr="descript"/>
                          <pic:cNvPicPr/>
                        </pic:nvPicPr>
                        <pic:blipFill>
                          <a:blip r:embed="rId39"/>
                          <a:stretch>
                            <a:fillRect/>
                          </a:stretch>
                        </pic:blipFill>
                        <pic:spPr>
                          <a:xfrm>
                            <a:off x="0" y="0"/>
                            <a:ext cx="4856480" cy="3690585"/>
                          </a:xfrm>
                          <a:prstGeom prst="rect">
                            <a:avLst/>
                          </a:prstGeom>
                        </pic:spPr>
                      </pic:pic>
                    </a:graphicData>
                  </a:graphic>
                </wp:inline>
              </w:drawing>
            </w:r>
          </w:p>
          <w:p w14:paraId="0F332984">
            <w:pPr>
              <w:jc w:val="cente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t>图3 第4课时教学流程图</w:t>
            </w:r>
          </w:p>
          <w:p w14:paraId="7CAF2B12">
            <w:pPr>
              <w:spacing w:line="360" w:lineRule="auto"/>
              <w:jc w:val="both"/>
              <w:rPr>
                <w:rFonts w:ascii="宋体" w:hAnsi="宋体" w:eastAsia="宋体" w:cs="宋体"/>
                <w:color w:val="000000" w:themeColor="text1"/>
                <w:kern w:val="0"/>
                <w:sz w:val="20"/>
                <w:szCs w:val="21"/>
                <w:shd w:val="clear" w:color="auto" w:fill="FFFFFF"/>
                <w14:textFill>
                  <w14:solidFill>
                    <w14:schemeClr w14:val="tx1"/>
                  </w14:solidFill>
                </w14:textFill>
              </w:rPr>
            </w:pPr>
          </w:p>
          <w:p w14:paraId="7863BD16">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p>
          <w:p w14:paraId="6EF59AD6">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p>
          <w:p w14:paraId="138AC71D">
            <w:pPr>
              <w:spacing w:line="360" w:lineRule="auto"/>
              <w:jc w:val="center"/>
              <w:rPr>
                <w:rFonts w:ascii="宋体" w:hAnsi="宋体" w:eastAsia="宋体" w:cs="宋体"/>
                <w:color w:val="000000" w:themeColor="text1"/>
                <w:kern w:val="0"/>
                <w:sz w:val="20"/>
                <w:szCs w:val="21"/>
                <w:shd w:val="clear" w:color="auto" w:fill="FFFFFF"/>
                <w14:textFill>
                  <w14:solidFill>
                    <w14:schemeClr w14:val="tx1"/>
                  </w14:solidFill>
                </w14:textFill>
              </w:rPr>
            </w:pPr>
            <w:r>
              <w:rPr>
                <w:rFonts w:ascii="宋体" w:hAnsi="宋体" w:eastAsia="宋体" w:cs="宋体"/>
                <w:color w:val="000000" w:themeColor="text1"/>
                <w:kern w:val="0"/>
                <w:sz w:val="20"/>
                <w:szCs w:val="21"/>
                <w:shd w:val="clear" w:color="auto" w:fill="FFFFFF"/>
                <w14:textFill>
                  <w14:solidFill>
                    <w14:schemeClr w14:val="tx1"/>
                  </w14:solidFill>
                </w14:textFill>
              </w:rPr>
              <w:drawing>
                <wp:inline distT="0" distB="0" distL="0" distR="0">
                  <wp:extent cx="5071110" cy="3554730"/>
                  <wp:effectExtent l="0" t="0" r="15240" b="7620"/>
                  <wp:docPr id="95" name="picture" descr="descript"/>
                  <wp:cNvGraphicFramePr/>
                  <a:graphic xmlns:a="http://schemas.openxmlformats.org/drawingml/2006/main">
                    <a:graphicData uri="http://schemas.openxmlformats.org/drawingml/2006/picture">
                      <pic:pic xmlns:pic="http://schemas.openxmlformats.org/drawingml/2006/picture">
                        <pic:nvPicPr>
                          <pic:cNvPr id="95" name="picture" descr="descript"/>
                          <pic:cNvPicPr/>
                        </pic:nvPicPr>
                        <pic:blipFill>
                          <a:blip r:embed="rId40"/>
                          <a:stretch>
                            <a:fillRect/>
                          </a:stretch>
                        </pic:blipFill>
                        <pic:spPr>
                          <a:xfrm>
                            <a:off x="0" y="0"/>
                            <a:ext cx="5071110" cy="3554978"/>
                          </a:xfrm>
                          <a:prstGeom prst="rect">
                            <a:avLst/>
                          </a:prstGeom>
                        </pic:spPr>
                      </pic:pic>
                    </a:graphicData>
                  </a:graphic>
                </wp:inline>
              </w:drawing>
            </w:r>
          </w:p>
          <w:p w14:paraId="3F9375BB">
            <w:pPr>
              <w:jc w:val="cente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t>图4 第5课时教学流程图</w:t>
            </w:r>
          </w:p>
          <w:p w14:paraId="666F8094">
            <w:pPr>
              <w:jc w:val="cente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pPr>
          </w:p>
          <w:p w14:paraId="34FCB771">
            <w:pPr>
              <w:jc w:val="cente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pPr>
          </w:p>
          <w:p w14:paraId="45433242">
            <w:pPr>
              <w:jc w:val="cente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drawing>
                <wp:inline distT="0" distB="0" distL="0" distR="0">
                  <wp:extent cx="5045710" cy="3367405"/>
                  <wp:effectExtent l="0" t="0" r="2540" b="4445"/>
                  <wp:docPr id="96" name="picture" descr="descript"/>
                  <wp:cNvGraphicFramePr/>
                  <a:graphic xmlns:a="http://schemas.openxmlformats.org/drawingml/2006/main">
                    <a:graphicData uri="http://schemas.openxmlformats.org/drawingml/2006/picture">
                      <pic:pic xmlns:pic="http://schemas.openxmlformats.org/drawingml/2006/picture">
                        <pic:nvPicPr>
                          <pic:cNvPr id="96" name="picture" descr="descript"/>
                          <pic:cNvPicPr/>
                        </pic:nvPicPr>
                        <pic:blipFill>
                          <a:blip r:embed="rId41"/>
                          <a:stretch>
                            <a:fillRect/>
                          </a:stretch>
                        </pic:blipFill>
                        <pic:spPr>
                          <a:xfrm>
                            <a:off x="0" y="0"/>
                            <a:ext cx="5045710" cy="3367436"/>
                          </a:xfrm>
                          <a:prstGeom prst="rect">
                            <a:avLst/>
                          </a:prstGeom>
                        </pic:spPr>
                      </pic:pic>
                    </a:graphicData>
                  </a:graphic>
                </wp:inline>
              </w:drawing>
            </w:r>
          </w:p>
          <w:p w14:paraId="0602E3BA">
            <w:pPr>
              <w:spacing w:line="360" w:lineRule="auto"/>
              <w:jc w:val="center"/>
              <w:rPr>
                <w:rFonts w:ascii="Times New Roman" w:hAnsi="Times New Roman" w:eastAsia="宋体" w:cs="Times New Roman"/>
                <w:color w:val="000000" w:themeColor="text1"/>
                <w:kern w:val="0"/>
                <w:sz w:val="20"/>
                <w:szCs w:val="20"/>
                <w:shd w:val="clear" w:color="auto" w:fill="FFFF00"/>
                <w14:textFill>
                  <w14:solidFill>
                    <w14:schemeClr w14:val="tx1"/>
                  </w14:solidFill>
                </w14:textFill>
              </w:rPr>
            </w:pPr>
            <w:r>
              <w:rPr>
                <w:rFonts w:hint="eastAsia" w:ascii="Times New Roman" w:hAnsi="Times New Roman" w:eastAsia="宋体" w:cs="Times New Roman"/>
                <w:color w:val="000000" w:themeColor="text1"/>
                <w:kern w:val="0"/>
                <w:sz w:val="20"/>
                <w:szCs w:val="20"/>
                <w:shd w:val="clear" w:color="auto" w:fill="FFFFFF"/>
                <w14:textFill>
                  <w14:solidFill>
                    <w14:schemeClr w14:val="tx1"/>
                  </w14:solidFill>
                </w14:textFill>
              </w:rPr>
              <w:t>图5 第6课时教学流程图</w:t>
            </w:r>
          </w:p>
          <w:p w14:paraId="018684AA">
            <w:pPr>
              <w:spacing w:line="360" w:lineRule="auto"/>
              <w:jc w:val="cente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drawing>
                <wp:inline distT="0" distB="0" distL="0" distR="0">
                  <wp:extent cx="5173980" cy="3888740"/>
                  <wp:effectExtent l="0" t="0" r="7620" b="16510"/>
                  <wp:docPr id="97" name="picture" descr="descript"/>
                  <wp:cNvGraphicFramePr/>
                  <a:graphic xmlns:a="http://schemas.openxmlformats.org/drawingml/2006/main">
                    <a:graphicData uri="http://schemas.openxmlformats.org/drawingml/2006/picture">
                      <pic:pic xmlns:pic="http://schemas.openxmlformats.org/drawingml/2006/picture">
                        <pic:nvPicPr>
                          <pic:cNvPr id="97" name="picture" descr="descript"/>
                          <pic:cNvPicPr/>
                        </pic:nvPicPr>
                        <pic:blipFill>
                          <a:blip r:embed="rId42"/>
                          <a:stretch>
                            <a:fillRect/>
                          </a:stretch>
                        </pic:blipFill>
                        <pic:spPr>
                          <a:xfrm>
                            <a:off x="0" y="0"/>
                            <a:ext cx="5173980" cy="3889111"/>
                          </a:xfrm>
                          <a:prstGeom prst="rect">
                            <a:avLst/>
                          </a:prstGeom>
                        </pic:spPr>
                      </pic:pic>
                    </a:graphicData>
                  </a:graphic>
                </wp:inline>
              </w:drawing>
            </w:r>
          </w:p>
          <w:p w14:paraId="1BB39527">
            <w:pPr>
              <w:spacing w:line="360" w:lineRule="auto"/>
              <w:jc w:val="cente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pPr>
            <w: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t xml:space="preserve">图6 </w:t>
            </w:r>
            <w:r>
              <w:rPr>
                <w:rFonts w:hint="eastAsia" w:ascii="Times New Roman" w:hAnsi="Times New Roman" w:eastAsia="宋体" w:cs="Times New Roman"/>
                <w:color w:val="000000" w:themeColor="text1"/>
                <w:kern w:val="0"/>
                <w:sz w:val="20"/>
                <w:szCs w:val="20"/>
                <w:shd w:val="clear" w:color="auto" w:fill="FFFFFF"/>
                <w:lang w:val="en-US" w:eastAsia="zh-CN"/>
                <w14:textFill>
                  <w14:solidFill>
                    <w14:schemeClr w14:val="tx1"/>
                  </w14:solidFill>
                </w14:textFill>
              </w:rPr>
              <w:t xml:space="preserve"> </w:t>
            </w:r>
            <w:r>
              <w:rPr>
                <w:rFonts w:ascii="Times New Roman" w:hAnsi="Times New Roman" w:eastAsia="宋体" w:cs="Times New Roman"/>
                <w:color w:val="000000" w:themeColor="text1"/>
                <w:kern w:val="0"/>
                <w:sz w:val="20"/>
                <w:szCs w:val="20"/>
                <w:shd w:val="clear" w:color="auto" w:fill="FFFFFF"/>
                <w14:textFill>
                  <w14:solidFill>
                    <w14:schemeClr w14:val="tx1"/>
                  </w14:solidFill>
                </w14:textFill>
              </w:rPr>
              <w:t>第7课时教学流程图</w:t>
            </w:r>
          </w:p>
        </w:tc>
      </w:tr>
    </w:tbl>
    <w:p w14:paraId="53B8DD63">
      <w:pPr>
        <w:ind w:firstLine="420" w:firstLineChars="200"/>
        <w:rPr>
          <w:b/>
          <w:szCs w:val="21"/>
        </w:rPr>
      </w:pPr>
      <w:r>
        <w:rPr>
          <w:rFonts w:hint="eastAsia"/>
          <w:b/>
          <w:szCs w:val="21"/>
        </w:rPr>
        <w:t>2.课题研究的物化成果</w:t>
      </w:r>
    </w:p>
    <w:p w14:paraId="44C5C8FC">
      <w:pPr>
        <w:ind w:firstLine="420" w:firstLineChars="200"/>
        <w:rPr>
          <w:rFonts w:hint="eastAsia"/>
          <w:bCs/>
          <w:szCs w:val="21"/>
        </w:rPr>
      </w:pPr>
      <w:r>
        <w:rPr>
          <w:rFonts w:hint="eastAsia"/>
          <w:bCs/>
          <w:szCs w:val="21"/>
        </w:rPr>
        <w:t>在前期研究的基础上，我们正逐步理清思绪，明确研究方向，取得初浅成效。</w:t>
      </w:r>
    </w:p>
    <w:p w14:paraId="41C139F7">
      <w:pPr>
        <w:ind w:firstLine="420" w:firstLineChars="200"/>
        <w:rPr>
          <w:rFonts w:hint="eastAsia"/>
          <w:b/>
          <w:szCs w:val="21"/>
        </w:rPr>
      </w:pPr>
      <w:r>
        <w:rPr>
          <w:rFonts w:hint="eastAsia"/>
          <w:b/>
          <w:bCs/>
        </w:rPr>
        <w:t>(</w:t>
      </w:r>
      <w:r>
        <w:rPr>
          <w:rFonts w:hint="eastAsia"/>
          <w:b/>
          <w:bCs/>
          <w:lang w:val="en-US" w:eastAsia="zh-CN"/>
        </w:rPr>
        <w:t>1</w:t>
      </w:r>
      <w:r>
        <w:rPr>
          <w:rFonts w:hint="eastAsia"/>
          <w:b/>
          <w:bCs/>
        </w:rPr>
        <w:t>)</w:t>
      </w:r>
      <w:r>
        <w:rPr>
          <w:rFonts w:hint="eastAsia"/>
          <w:b/>
          <w:szCs w:val="21"/>
        </w:rPr>
        <w:t>形成了系列论文（部分目录展示，详见论文集）</w:t>
      </w:r>
    </w:p>
    <w:tbl>
      <w:tblPr>
        <w:tblStyle w:val="11"/>
        <w:tblW w:w="8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890"/>
        <w:gridCol w:w="4090"/>
        <w:gridCol w:w="2061"/>
        <w:gridCol w:w="1157"/>
      </w:tblGrid>
      <w:tr w14:paraId="3F4A0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27390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姓名</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DEFFF9C">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论文题目</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BFC1DC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发表刊物</w:t>
            </w:r>
          </w:p>
          <w:p w14:paraId="3C9C65B5">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（或获奖级别）</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5746D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发表（或获奖）时间</w:t>
            </w:r>
          </w:p>
        </w:tc>
      </w:tr>
      <w:tr w14:paraId="4008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200A1B6">
            <w:pPr>
              <w:jc w:val="center"/>
              <w:rPr>
                <w:rFonts w:hint="eastAsia" w:ascii="仿宋" w:hAnsi="仿宋" w:eastAsia="仿宋" w:cs="仿宋"/>
                <w:b/>
                <w:bCs/>
                <w:lang w:val="en-US" w:eastAsia="zh-CN"/>
              </w:rPr>
            </w:pPr>
            <w:r>
              <w:rPr>
                <w:rFonts w:hint="eastAsia" w:ascii="仿宋" w:hAnsi="仿宋" w:eastAsia="仿宋" w:cs="仿宋"/>
                <w:b/>
                <w:bCs/>
                <w:lang w:val="en-US" w:eastAsia="zh-CN"/>
              </w:rPr>
              <w:t>艾璐</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B15C7B">
            <w:pPr>
              <w:rPr>
                <w:rFonts w:hint="eastAsia" w:ascii="仿宋" w:hAnsi="仿宋" w:eastAsia="仿宋" w:cs="仿宋"/>
                <w:b/>
                <w:bCs/>
                <w:lang w:eastAsia="zh-CN"/>
              </w:rPr>
            </w:pPr>
            <w:r>
              <w:rPr>
                <w:rFonts w:hint="eastAsia" w:ascii="仿宋" w:hAnsi="仿宋" w:eastAsia="仿宋" w:cs="仿宋"/>
                <w:b/>
                <w:bCs/>
              </w:rPr>
              <w:t>初中化学元素观内涵、建构进阶及教学策略</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C2C89D">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lang w:val="en-US" w:eastAsia="zh-CN"/>
              </w:rPr>
            </w:pPr>
            <w:r>
              <w:rPr>
                <w:rFonts w:hint="eastAsia" w:ascii="仿宋" w:hAnsi="仿宋" w:eastAsia="仿宋" w:cs="仿宋"/>
                <w:b/>
                <w:bCs/>
                <w:i w:val="0"/>
                <w:iCs w:val="0"/>
                <w:color w:val="000000"/>
                <w:spacing w:val="0"/>
                <w:w w:val="100"/>
                <w:sz w:val="21"/>
                <w:szCs w:val="21"/>
                <w:vertAlign w:val="baseline"/>
                <w:lang w:val="en-US" w:eastAsia="zh-CN"/>
              </w:rPr>
              <w:t>化学教学，核心期刊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E2F5E3">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eastAsia="zh-CN"/>
              </w:rPr>
            </w:pPr>
            <w:r>
              <w:rPr>
                <w:rFonts w:hint="eastAsia" w:ascii="仿宋" w:hAnsi="仿宋" w:eastAsia="仿宋" w:cs="仿宋"/>
                <w:b/>
                <w:bCs/>
                <w:i w:val="0"/>
                <w:iCs w:val="0"/>
                <w:color w:val="000000"/>
                <w:spacing w:val="0"/>
                <w:w w:val="100"/>
                <w:sz w:val="21"/>
                <w:szCs w:val="21"/>
                <w:vertAlign w:val="baseline"/>
                <w:lang w:val="en-US" w:eastAsia="zh-CN"/>
              </w:rPr>
              <w:t>2024.10</w:t>
            </w:r>
          </w:p>
        </w:tc>
      </w:tr>
      <w:tr w14:paraId="4AC52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1725AE">
            <w:pPr>
              <w:jc w:val="center"/>
              <w:rPr>
                <w:rFonts w:hint="eastAsia" w:ascii="仿宋" w:hAnsi="仿宋" w:eastAsia="仿宋" w:cs="仿宋"/>
                <w:b/>
                <w:bCs/>
              </w:rPr>
            </w:pPr>
            <w:r>
              <w:rPr>
                <w:rFonts w:hint="eastAsia" w:ascii="仿宋" w:hAnsi="仿宋" w:eastAsia="仿宋" w:cs="仿宋"/>
                <w:b/>
                <w:bCs/>
                <w:lang w:val="en-US" w:eastAsia="zh-CN"/>
              </w:rPr>
              <w:t>艾璐</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E87352">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"https://kns.cnki.net/kcms2/article/abstract?v=9g5lTc5ddu27Pakwsv4wL-456lY1OywXQMSQqte9DvON-2_lRcNcBmfqdk4zfmx6IJ4Drh005IMJ5OJRV_4jFjSjPyHC4ZdTgg6Q3xIvj3qyzk1biZNSSP2wfvegA0xjhhTDYYcXg15nky0MC63TaAkYRWTQ8nyx3rfoEMMPmqUJUqBZhHkHr_pkhh4oKrzU&amp;uniplatform=NZKPT&amp;language=CHS"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大概念统领下的初中化学单元教学设计与实践——以“莫尔盐专题”为例</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6A36BD">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rPr>
            </w:pPr>
            <w:r>
              <w:rPr>
                <w:rFonts w:hint="eastAsia" w:ascii="仿宋" w:hAnsi="仿宋" w:eastAsia="仿宋" w:cs="仿宋"/>
                <w:b/>
                <w:bCs/>
                <w:i w:val="0"/>
                <w:iCs w:val="0"/>
                <w:color w:val="000000"/>
                <w:spacing w:val="0"/>
                <w:w w:val="100"/>
                <w:sz w:val="21"/>
                <w:szCs w:val="21"/>
                <w:vertAlign w:val="baseline"/>
                <w:lang w:val="en-US" w:eastAsia="zh-CN"/>
              </w:rPr>
              <w:t>化学教学，核心期刊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6D2D690">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rPr>
            </w:pPr>
            <w:r>
              <w:rPr>
                <w:rFonts w:hint="eastAsia" w:ascii="仿宋" w:hAnsi="仿宋" w:eastAsia="仿宋" w:cs="仿宋"/>
                <w:b/>
                <w:bCs/>
                <w:i w:val="0"/>
                <w:iCs w:val="0"/>
                <w:color w:val="000000"/>
                <w:spacing w:val="0"/>
                <w:w w:val="100"/>
                <w:sz w:val="21"/>
                <w:szCs w:val="21"/>
                <w:vertAlign w:val="baseline"/>
                <w:lang w:val="en-US" w:eastAsia="zh-CN"/>
              </w:rPr>
              <w:t>2024.07</w:t>
            </w:r>
          </w:p>
        </w:tc>
      </w:tr>
      <w:tr w14:paraId="77E3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3115233">
            <w:pPr>
              <w:jc w:val="center"/>
              <w:rPr>
                <w:rFonts w:hint="eastAsia" w:ascii="仿宋" w:hAnsi="仿宋" w:eastAsia="仿宋" w:cs="仿宋"/>
                <w:b/>
                <w:bCs/>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"https://kns.cnki.net/kcms2/author/detail?v=9g5lTc5ddu0oQWvjd87Oe_2VFA31oD-mpY8IkB_RsmTczsCDT2u9t6IrU_Uwdx1R674Z5VwxjE9CW13QEjwcAvHGYdp-dPm9p3KmVfay3r1qI5Is25n4Rg==&amp;uniplatform=NZKPT&amp;language=CHS"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艾璐</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"https://kns.cnki.net/kcms2/author/detail?v=9g5lTc5ddu0oQWvjd87Oe_2VFA31oD-mRIU132ROB8KyED6XYeqSro-tZHdwsB0tIvcqAalVhtQc5j1umFVWcNVD1p3injcuSdcZh4-3URA43__9b06-8dg5NdOd2vFK&amp;uniplatform=NZKPT&amp;language=CHS"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李小静</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"https://kns.cnki.net/kcms2/author/detail?v=9g5lTc5ddu0oQWvjd87Oe_2VFA31oD-mdhbxH6pkhuOn6ZLYAQoSarbfgglzwyeRTjFpj4POoHz14xaxuPzQdo-hERpMQMQ6xBDMuBzBL8YBt922ujrZuQWtyu1wy6sP&amp;uniplatform=NZKPT&amp;language=CHS"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董新伟</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"https://kns.cnki.net/kcms2/author/detail?v=9g5lTc5ddu0oQWvjd87Oe_2VFA31oD-myKMlMZk03KwdH36-cjuz0ecIMV92XHd2wIOJB1_Ma6DGeyDkR8Ha7KRt7xTdil1htS_2ag0ZmbWrQ3mfdtu1Vw8jbAIYIGnp&amp;uniplatform=NZKPT&amp;language=CHS"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牛改艳</w:t>
            </w:r>
            <w:r>
              <w:rPr>
                <w:rFonts w:hint="eastAsia" w:ascii="仿宋" w:hAnsi="仿宋" w:eastAsia="仿宋" w:cs="仿宋"/>
                <w:b/>
                <w:bCs/>
              </w:rPr>
              <w:fldChar w:fldCharType="end"/>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7774E3">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"https://kns.cnki.net/kcms2/article/abstract?v=9g5lTc5ddu0oQWvjd87Oez6rW6zk0zPdqYUYlOYcAuqo23Xop-k6BK3Id6DP5BzwEjSdUmsdECy9LNn9-WtnLFErIdO__viNqcaQIrCWtVjWQc_LBkQpAYQKIWjYGOB0sz2QxarPJcozh60TIw6ZVssEZolNZMndUdaEa1c1o2MPExZt4_U9F_KSEaC7lcEn&amp;uniplatform=NZKPT&amp;language=CHS"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基于化学学科理解的单元复习教学设计与实践——以初中化学“食品中的有机化合物”为例</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82C4532">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lang w:val="en-US" w:eastAsia="zh-CN"/>
              </w:rPr>
            </w:pPr>
            <w:r>
              <w:rPr>
                <w:rFonts w:hint="eastAsia" w:ascii="仿宋" w:hAnsi="仿宋" w:eastAsia="仿宋" w:cs="仿宋"/>
                <w:b/>
                <w:bCs/>
                <w:i w:val="0"/>
                <w:iCs w:val="0"/>
                <w:color w:val="000000"/>
                <w:spacing w:val="0"/>
                <w:w w:val="100"/>
                <w:sz w:val="21"/>
                <w:szCs w:val="21"/>
                <w:vertAlign w:val="baseline"/>
                <w:lang w:val="en-US" w:eastAsia="zh-CN"/>
              </w:rPr>
              <w:t>化学教与学，省级期刊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701F9CE">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eastAsia="zh-CN"/>
              </w:rPr>
            </w:pPr>
            <w:r>
              <w:rPr>
                <w:rFonts w:hint="eastAsia" w:ascii="仿宋" w:hAnsi="仿宋" w:eastAsia="仿宋" w:cs="仿宋"/>
                <w:b/>
                <w:bCs/>
                <w:i w:val="0"/>
                <w:iCs w:val="0"/>
                <w:color w:val="000000"/>
                <w:spacing w:val="0"/>
                <w:w w:val="100"/>
                <w:sz w:val="21"/>
                <w:szCs w:val="21"/>
                <w:vertAlign w:val="baseline"/>
                <w:lang w:val="en-US" w:eastAsia="zh-CN"/>
              </w:rPr>
              <w:t>2023.09</w:t>
            </w:r>
          </w:p>
        </w:tc>
      </w:tr>
      <w:tr w14:paraId="5ACD8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7153222">
            <w:pPr>
              <w:jc w:val="center"/>
              <w:rPr>
                <w:rFonts w:hint="eastAsia" w:ascii="仿宋" w:hAnsi="仿宋" w:eastAsia="仿宋" w:cs="仿宋"/>
                <w:b/>
                <w:bCs/>
              </w:rPr>
            </w:pPr>
            <w:r>
              <w:rPr>
                <w:rFonts w:hint="eastAsia" w:ascii="仿宋" w:hAnsi="仿宋" w:eastAsia="仿宋" w:cs="仿宋"/>
                <w:b/>
                <w:bCs/>
                <w:lang w:val="en-US" w:eastAsia="zh-CN"/>
              </w:rPr>
              <w:t>艾璐</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A69592">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"https://kns.cnki.net/kcms2/article/abstract?v=9g5lTc5ddu0mdteL6ao5rs1snHPgjOaMmPymAjsh2yor2ucCScmZOWziX0J2Aa86Qq0t_eak1LNzJLVBXX1dxyF7eS9xTWgvYDB_vNIDKVmX06PjGZIPxVQdgUjadZBIYnGh1m9_AVLBHVFxYKnbRYES_HEqSm1WiCeW86HLOQKuBRHJU-e6TUVb4mArNkdH&amp;uniplatform=NZKPT&amp;language=CHS"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初中化学中模型的内涵、分类及考查分析</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C30B829">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rPr>
            </w:pPr>
            <w:r>
              <w:rPr>
                <w:rFonts w:hint="eastAsia" w:ascii="仿宋" w:hAnsi="仿宋" w:eastAsia="仿宋" w:cs="仿宋"/>
                <w:b/>
                <w:bCs/>
                <w:i w:val="0"/>
                <w:iCs w:val="0"/>
                <w:color w:val="000000"/>
                <w:spacing w:val="0"/>
                <w:w w:val="100"/>
                <w:sz w:val="21"/>
                <w:szCs w:val="21"/>
                <w:vertAlign w:val="baseline"/>
                <w:lang w:val="en-US" w:eastAsia="zh-CN"/>
              </w:rPr>
              <w:t>化学教与学，省级期刊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52FD0E9">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rPr>
            </w:pPr>
            <w:r>
              <w:rPr>
                <w:rFonts w:hint="eastAsia" w:ascii="仿宋" w:hAnsi="仿宋" w:eastAsia="仿宋" w:cs="仿宋"/>
                <w:b/>
                <w:bCs/>
                <w:i w:val="0"/>
                <w:iCs w:val="0"/>
                <w:color w:val="000000"/>
                <w:spacing w:val="0"/>
                <w:w w:val="100"/>
                <w:sz w:val="21"/>
                <w:szCs w:val="21"/>
                <w:vertAlign w:val="baseline"/>
                <w:lang w:val="en-US" w:eastAsia="zh-CN"/>
              </w:rPr>
              <w:t>2022.07</w:t>
            </w:r>
          </w:p>
        </w:tc>
      </w:tr>
      <w:tr w14:paraId="3CA7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64B884C">
            <w:pPr>
              <w:jc w:val="center"/>
              <w:rPr>
                <w:rFonts w:hint="eastAsia" w:ascii="仿宋" w:hAnsi="仿宋" w:eastAsia="仿宋" w:cs="仿宋"/>
                <w:b/>
                <w:bCs/>
              </w:rPr>
            </w:pPr>
            <w:r>
              <w:rPr>
                <w:rFonts w:hint="eastAsia" w:ascii="仿宋" w:hAnsi="仿宋" w:eastAsia="仿宋" w:cs="仿宋"/>
                <w:b/>
                <w:bCs/>
                <w:lang w:val="en-US" w:eastAsia="zh-CN"/>
              </w:rPr>
              <w:t>艾璐</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B88431">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"https://kns.cnki.net/kcms2/article/abstract?v=9g5lTc5ddu3IozS8lwVujT57KmvtrgIi3SW9qfgy8QndPLawoLeOR409Fbtb9ATNScWWu_2F31qTCt4peh7ss3MnrjGG2KCgF6hhHgaHWjLtrICdGc9hanNLRJno8ebqh9j90qAzwVP3xdXH9nv0Z5Sce7lJp0RVFmkW4OMIW_n5gZ1VV6jUZ6sMjbcGKuVK&amp;uniplatform=NZKPT&amp;language=CHS"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聚焦中考考查方式之“化学方程式”</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85D24C">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rPr>
            </w:pPr>
            <w:r>
              <w:rPr>
                <w:rFonts w:hint="eastAsia" w:ascii="仿宋" w:hAnsi="仿宋" w:eastAsia="仿宋" w:cs="仿宋"/>
                <w:b/>
                <w:bCs/>
                <w:i w:val="0"/>
                <w:iCs w:val="0"/>
                <w:color w:val="000000"/>
                <w:spacing w:val="0"/>
                <w:w w:val="100"/>
                <w:sz w:val="21"/>
                <w:szCs w:val="21"/>
                <w:vertAlign w:val="baseline"/>
                <w:lang w:val="en-US" w:eastAsia="zh-CN"/>
              </w:rPr>
              <w:t>中学化学，省级期刊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D41379C">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rPr>
            </w:pPr>
            <w:r>
              <w:rPr>
                <w:rFonts w:hint="eastAsia" w:ascii="仿宋" w:hAnsi="仿宋" w:eastAsia="仿宋" w:cs="仿宋"/>
                <w:b/>
                <w:bCs/>
                <w:i w:val="0"/>
                <w:iCs w:val="0"/>
                <w:color w:val="000000"/>
                <w:spacing w:val="0"/>
                <w:w w:val="100"/>
                <w:sz w:val="21"/>
                <w:szCs w:val="21"/>
                <w:vertAlign w:val="baseline"/>
                <w:lang w:val="en-US" w:eastAsia="zh-CN"/>
              </w:rPr>
              <w:t>2022.04</w:t>
            </w:r>
          </w:p>
        </w:tc>
      </w:tr>
      <w:tr w14:paraId="70619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967268">
            <w:pPr>
              <w:jc w:val="center"/>
              <w:rPr>
                <w:rFonts w:hint="eastAsia" w:ascii="仿宋" w:hAnsi="仿宋" w:eastAsia="仿宋" w:cs="仿宋"/>
                <w:b/>
                <w:bCs/>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"https://kns.cnki.net/kcms2/author/detail?v=9g5lTc5ddu27Pakwsv4wL2eRa75Fllu3Cs4RWfJY72qp9r-iFzyNJ6Djcq_T42y9QNyTC6f73l5zduut8AnxcGrO3DdZ3CUmX8VW3Qyk_QUV78yBchNCvAvDNXPn3z_3&amp;uniplatform=NZKPT&amp;language=CHS"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李小静</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"https://kns.cnki.net/kcms2/author/detail?v=9g5lTc5ddu27Pakwsv4wL2eRa75Fllu3IK-OYihjeQgD-hms66fPHcWBhabsqe7MUpKSNjvpmQ-PNOJEudTLoVAbc835j8W4fZKV8gD1Qvac4aVmhdjO_A==&amp;uniplatform=NZKPT&amp;language=CHS"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艾璐</w:t>
            </w:r>
            <w:r>
              <w:rPr>
                <w:rFonts w:hint="eastAsia" w:ascii="仿宋" w:hAnsi="仿宋" w:eastAsia="仿宋" w:cs="仿宋"/>
                <w:b/>
                <w:bCs/>
              </w:rPr>
              <w:fldChar w:fldCharType="end"/>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45D4D3A">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"https://kns.cnki.net/kcms2/article/abstract?v=9g5lTc5ddu0oQWvjd87Oez6rW6zk0zPdOIRhOrIZTnI2Qylfvuh1N4yalmiJ1j8C1GPGfpIKQLuPMiRfssjfIOVfSfvAmBBuUbWpJjwq4wqB0_uBe9ZC_IEgP__LaF9h1lkPr3EyD8Yw9DfFkLMgWVNeZfETf-mTAl_fJl84FzgGKc6T3jBb_vb21t_XA4Sj&amp;uniplatform=NZKPT&amp;language=CHS"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大概念统领下的初中化学单元教学设计与实践——物质的组成与结构</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420C08">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rPr>
            </w:pPr>
            <w:r>
              <w:rPr>
                <w:rFonts w:hint="eastAsia" w:ascii="仿宋" w:hAnsi="仿宋" w:eastAsia="仿宋" w:cs="仿宋"/>
                <w:b/>
                <w:bCs/>
                <w:i w:val="0"/>
                <w:iCs w:val="0"/>
                <w:color w:val="000000"/>
                <w:spacing w:val="0"/>
                <w:w w:val="100"/>
                <w:sz w:val="21"/>
                <w:szCs w:val="21"/>
                <w:vertAlign w:val="baseline"/>
                <w:lang w:val="en-US" w:eastAsia="zh-CN"/>
              </w:rPr>
              <w:t>化学教育，核心期刊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035EE5">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rPr>
            </w:pPr>
            <w:r>
              <w:rPr>
                <w:rFonts w:hint="eastAsia" w:ascii="仿宋" w:hAnsi="仿宋" w:eastAsia="仿宋" w:cs="仿宋"/>
                <w:b/>
                <w:bCs/>
                <w:i w:val="0"/>
                <w:iCs w:val="0"/>
                <w:color w:val="000000"/>
                <w:spacing w:val="0"/>
                <w:w w:val="100"/>
                <w:sz w:val="21"/>
                <w:szCs w:val="21"/>
                <w:vertAlign w:val="baseline"/>
                <w:lang w:val="en-US" w:eastAsia="zh-CN"/>
              </w:rPr>
              <w:t>2023.10</w:t>
            </w:r>
          </w:p>
        </w:tc>
      </w:tr>
      <w:tr w14:paraId="01AE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628E865">
            <w:pPr>
              <w:jc w:val="center"/>
              <w:rPr>
                <w:rFonts w:hint="eastAsia" w:ascii="仿宋" w:hAnsi="仿宋" w:eastAsia="仿宋" w:cs="仿宋"/>
                <w:b/>
                <w:bCs/>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"https://kns.cnki.net/kcms2/author/detail?v=9g5lTc5ddu27Pakwsv4wL2eRa75Fllu3Cs4RWfJY72qp9r-iFzyNJ6Djcq_T42y9QNyTC6f73l5zduut8AnxcGrO3DdZ3CUmX8VW3Qyk_QUV78yBchNCvAvDNXPn3z_3&amp;uniplatform=NZKPT&amp;language=CHS"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李小静</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"https://kns.cnki.net/kcms2/author/detail?v=9g5lTc5ddu27Pakwsv4wL2eRa75Fllu3IK-OYihjeQgD-hms66fPHcWBhabsqe7MUpKSNjvpmQ-PNOJEudTLoVAbc835j8W4fZKV8gD1Qvac4aVmhdjO_A==&amp;uniplatform=NZKPT&amp;language=CHS"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艾璐</w:t>
            </w:r>
            <w:r>
              <w:rPr>
                <w:rFonts w:hint="eastAsia" w:ascii="仿宋" w:hAnsi="仿宋" w:eastAsia="仿宋" w:cs="仿宋"/>
                <w:b/>
                <w:bCs/>
              </w:rPr>
              <w:fldChar w:fldCharType="end"/>
            </w:r>
            <w:r>
              <w:rPr>
                <w:rFonts w:hint="eastAsia" w:ascii="仿宋" w:hAnsi="仿宋" w:eastAsia="仿宋" w:cs="仿宋"/>
                <w:b/>
                <w:bCs/>
              </w:rPr>
              <w:t>;</w:t>
            </w: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"https://kns.cnki.net/kcms2/author/detail?v=9g5lTc5ddu27Pakwsv4wL2eRa75Fllu3bB9hV_iezOxgY-e-tY-BLNGX8qlJUsKoINeP0zOAcUscddni-SU0uelZ8ebZQCUSFAbCj9lunsU1r-HAooi-DR7S_fMm5kCe&amp;uniplatform=NZKPT&amp;language=CHS" \t "https://kns.cnki.net/kns8s/defaultresult/knet" </w:instrText>
            </w:r>
            <w:r>
              <w:rPr>
                <w:rFonts w:hint="eastAsia" w:ascii="仿宋" w:hAnsi="仿宋" w:eastAsia="仿宋" w:cs="仿宋"/>
                <w:b/>
                <w:bCs/>
              </w:rPr>
              <w:fldChar w:fldCharType="separate"/>
            </w:r>
            <w:r>
              <w:rPr>
                <w:rFonts w:hint="eastAsia" w:ascii="仿宋" w:hAnsi="仿宋" w:eastAsia="仿宋" w:cs="仿宋"/>
                <w:b/>
                <w:bCs/>
              </w:rPr>
              <w:t>董新伟</w:t>
            </w:r>
            <w:r>
              <w:rPr>
                <w:rFonts w:hint="eastAsia" w:ascii="仿宋" w:hAnsi="仿宋" w:eastAsia="仿宋" w:cs="仿宋"/>
                <w:b/>
                <w:bCs/>
              </w:rPr>
              <w:fldChar w:fldCharType="end"/>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CCD31A8">
            <w:pPr>
              <w:rPr>
                <w:rFonts w:hint="eastAsia" w:ascii="仿宋" w:hAnsi="仿宋" w:eastAsia="仿宋" w:cs="仿宋"/>
                <w:b/>
                <w:bCs/>
                <w:lang w:eastAsia="zh-CN"/>
              </w:rPr>
            </w:pPr>
            <w:r>
              <w:rPr>
                <w:rFonts w:hint="eastAsia" w:ascii="仿宋" w:hAnsi="仿宋" w:eastAsia="仿宋" w:cs="仿宋"/>
                <w:b/>
                <w:bCs/>
              </w:rPr>
              <w:fldChar w:fldCharType="begin"/>
            </w:r>
            <w:r>
              <w:rPr>
                <w:rFonts w:hint="eastAsia" w:ascii="仿宋" w:hAnsi="仿宋" w:eastAsia="仿宋" w:cs="仿宋"/>
                <w:b/>
                <w:bCs/>
              </w:rPr>
              <w:instrText xml:space="preserve"> HYPERLINK "https://kns.cnki.net/kcms2/article/abstract?v=9g5lTc5ddu27Pakwsv4wL-456lY1OywXn5Rr7jj4yqG87BNxf1tZY6-i9MX-Jl1p9M2FyJHvPetzPR3ol9XPwDrFJcPU7NXPkB75kSNot-u-7WNZ7kWH_pZMTxAyuH_q9IjiRqDT9hK_OoS5ELsw4M4oTGfL5kAzjq_vnxHPfTb4aykGH-4tHBvEhtBSN9JS&amp;uniplatform=NZKPT&amp;language=CHS" \t "https://kns.cnki.net/kns8s/defaultresult/_blank" </w:instrText>
            </w:r>
            <w:r>
              <w:rPr>
                <w:rFonts w:hint="eastAsia" w:ascii="仿宋" w:hAnsi="仿宋" w:eastAsia="仿宋" w:cs="仿宋"/>
                <w:b/>
                <w:bCs/>
              </w:rPr>
              <w:fldChar w:fldCharType="separate"/>
            </w:r>
            <w:r>
              <w:rPr>
                <w:rFonts w:hint="eastAsia" w:ascii="仿宋" w:hAnsi="仿宋" w:eastAsia="仿宋" w:cs="仿宋"/>
                <w:b/>
                <w:bCs/>
              </w:rPr>
              <w:t>大概念统领下的初中化学单元教学设计与实践——以“化学与社会发展”单元为例</w:t>
            </w:r>
            <w:r>
              <w:rPr>
                <w:rFonts w:hint="eastAsia" w:ascii="仿宋" w:hAnsi="仿宋" w:eastAsia="仿宋" w:cs="仿宋"/>
                <w:b/>
                <w:bCs/>
              </w:rPr>
              <w:fldChar w:fldCharType="end"/>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8C108E">
            <w:pPr>
              <w:pStyle w:val="9"/>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000000"/>
                <w:spacing w:val="0"/>
                <w:w w:val="100"/>
                <w:sz w:val="21"/>
                <w:szCs w:val="21"/>
                <w:vertAlign w:val="baseline"/>
              </w:rPr>
            </w:pPr>
            <w:r>
              <w:rPr>
                <w:rFonts w:hint="eastAsia" w:ascii="仿宋" w:hAnsi="仿宋" w:eastAsia="仿宋" w:cs="仿宋"/>
                <w:b/>
                <w:bCs/>
                <w:i w:val="0"/>
                <w:iCs w:val="0"/>
                <w:color w:val="000000"/>
                <w:spacing w:val="0"/>
                <w:w w:val="100"/>
                <w:sz w:val="21"/>
                <w:szCs w:val="21"/>
                <w:vertAlign w:val="baseline"/>
                <w:lang w:val="en-US" w:eastAsia="zh-CN"/>
              </w:rPr>
              <w:t>化学教与学，省级期刊</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0E69AF">
            <w:pPr>
              <w:pStyle w:val="9"/>
              <w:keepNext w:val="0"/>
              <w:keepLines w:val="0"/>
              <w:widowControl/>
              <w:suppressLineNumbers w:val="0"/>
              <w:spacing w:before="0" w:beforeAutospacing="0" w:after="0" w:afterAutospacing="0"/>
              <w:ind w:left="0" w:right="0"/>
              <w:jc w:val="center"/>
              <w:rPr>
                <w:rFonts w:hint="eastAsia" w:ascii="仿宋" w:hAnsi="仿宋" w:eastAsia="仿宋" w:cs="仿宋"/>
                <w:b/>
                <w:bCs/>
                <w:i w:val="0"/>
                <w:iCs w:val="0"/>
                <w:color w:val="000000"/>
                <w:spacing w:val="0"/>
                <w:w w:val="100"/>
                <w:sz w:val="21"/>
                <w:szCs w:val="21"/>
                <w:vertAlign w:val="baseline"/>
                <w:lang w:val="en-US" w:eastAsia="zh-CN"/>
              </w:rPr>
            </w:pPr>
            <w:r>
              <w:rPr>
                <w:rFonts w:hint="eastAsia" w:ascii="仿宋" w:hAnsi="仿宋" w:eastAsia="仿宋" w:cs="仿宋"/>
                <w:b/>
                <w:bCs/>
                <w:i w:val="0"/>
                <w:iCs w:val="0"/>
                <w:color w:val="000000"/>
                <w:spacing w:val="0"/>
                <w:w w:val="100"/>
                <w:sz w:val="21"/>
                <w:szCs w:val="21"/>
                <w:vertAlign w:val="baseline"/>
                <w:lang w:val="en-US" w:eastAsia="zh-CN"/>
              </w:rPr>
              <w:t>2024.01</w:t>
            </w:r>
          </w:p>
        </w:tc>
      </w:tr>
      <w:tr w14:paraId="0051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9210754">
            <w:pPr>
              <w:jc w:val="center"/>
              <w:rPr>
                <w:rFonts w:hint="eastAsia" w:ascii="仿宋" w:hAnsi="仿宋" w:eastAsia="仿宋" w:cs="仿宋"/>
                <w:b w:val="0"/>
                <w:bCs w:val="0"/>
                <w:lang w:val="en-US" w:eastAsia="zh-CN"/>
              </w:rPr>
            </w:pPr>
            <w:r>
              <w:rPr>
                <w:rFonts w:hint="eastAsia" w:ascii="仿宋" w:hAnsi="仿宋" w:eastAsia="仿宋" w:cs="仿宋"/>
                <w:b w:val="0"/>
                <w:bCs w:val="0"/>
                <w:lang w:val="en-US" w:eastAsia="zh-CN"/>
              </w:rPr>
              <w:t>艾璐</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C23023">
            <w:pPr>
              <w:rPr>
                <w:rFonts w:hint="eastAsia" w:ascii="仿宋" w:hAnsi="仿宋" w:eastAsia="仿宋" w:cs="仿宋"/>
                <w:b w:val="0"/>
                <w:bCs w:val="0"/>
                <w:lang w:val="en-US" w:eastAsia="zh-CN"/>
              </w:rPr>
            </w:pPr>
            <w:r>
              <w:rPr>
                <w:rFonts w:hint="eastAsia" w:ascii="仿宋" w:hAnsi="仿宋" w:eastAsia="仿宋" w:cs="仿宋"/>
                <w:b w:val="0"/>
                <w:bCs w:val="0"/>
                <w:lang w:val="en-US" w:eastAsia="zh-CN"/>
              </w:rPr>
              <w:t>考查应用实践性思维的中考试题评析</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F92F20">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省二等奖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3BE008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2023.03</w:t>
            </w:r>
          </w:p>
        </w:tc>
      </w:tr>
      <w:tr w14:paraId="74E8B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251248">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lang w:val="en-US" w:eastAsia="zh-CN"/>
              </w:rPr>
              <w:t>王菲</w:t>
            </w:r>
            <w:r>
              <w:rPr>
                <w:rFonts w:hint="eastAsia" w:ascii="仿宋" w:hAnsi="仿宋" w:eastAsia="仿宋" w:cs="仿宋"/>
                <w:b w:val="0"/>
                <w:bCs w:val="0"/>
              </w:rPr>
              <w:t>;</w:t>
            </w:r>
            <w:r>
              <w:rPr>
                <w:rFonts w:hint="eastAsia" w:ascii="仿宋" w:hAnsi="仿宋" w:eastAsia="仿宋" w:cs="仿宋"/>
                <w:b w:val="0"/>
                <w:bCs w:val="0"/>
                <w:i w:val="0"/>
                <w:iCs w:val="0"/>
                <w:color w:val="000000"/>
                <w:spacing w:val="0"/>
                <w:w w:val="100"/>
                <w:sz w:val="21"/>
                <w:szCs w:val="21"/>
                <w:vertAlign w:val="baseline"/>
              </w:rPr>
              <w:t>俞银龙</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4C78D5E">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氢氧化钠溶液与二氧化碳反应一体化实验改进</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797796">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lang w:eastAsia="zh-CN"/>
              </w:rPr>
            </w:pPr>
            <w:r>
              <w:rPr>
                <w:rFonts w:hint="eastAsia" w:ascii="仿宋" w:hAnsi="仿宋" w:eastAsia="仿宋" w:cs="仿宋"/>
                <w:b w:val="0"/>
                <w:bCs w:val="0"/>
                <w:i w:val="0"/>
                <w:iCs w:val="0"/>
                <w:color w:val="000000"/>
                <w:spacing w:val="0"/>
                <w:w w:val="100"/>
                <w:sz w:val="21"/>
                <w:szCs w:val="21"/>
                <w:vertAlign w:val="baseline"/>
              </w:rPr>
              <w:t>实验教学与仪器</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9867D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2023.11</w:t>
            </w:r>
          </w:p>
        </w:tc>
      </w:tr>
      <w:tr w14:paraId="23D4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18A7B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俞银龙</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CFD9D5">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大概念统领下初中化学贯穿章节教学的实践与反思--以“分子和原子”为例</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0ABBF7">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省一等奖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FBDC34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2024.12</w:t>
            </w:r>
          </w:p>
        </w:tc>
      </w:tr>
      <w:tr w14:paraId="5D5B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9B381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FB7977">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DIS数字化信息系统在初中化学探究验中的应用</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9A9EECC">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教研周刊</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第48期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399B9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2021.</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1</w:t>
            </w:r>
          </w:p>
        </w:tc>
      </w:tr>
      <w:tr w14:paraId="3531D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B7DCACB">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79E194">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同发展，共成长--DIS数字化信息系统与初中化学实验教学的有效结合</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E3B7840">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全国三等奖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60FF9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2022.10</w:t>
            </w:r>
          </w:p>
        </w:tc>
      </w:tr>
      <w:tr w14:paraId="32E5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7F630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EC1E340">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核心素养导向下的初中化学大单元教学研究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073E276">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省二等奖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98C323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3</w:t>
            </w:r>
          </w:p>
        </w:tc>
      </w:tr>
      <w:tr w14:paraId="2F49B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0EDBCE1">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马云</w:t>
            </w:r>
            <w:r>
              <w:rPr>
                <w:rFonts w:hint="eastAsia" w:ascii="仿宋" w:hAnsi="仿宋" w:eastAsia="仿宋" w:cs="仿宋"/>
                <w:b w:val="0"/>
                <w:bCs w:val="0"/>
              </w:rPr>
              <w:t>;</w:t>
            </w:r>
            <w:r>
              <w:rPr>
                <w:rFonts w:hint="eastAsia" w:ascii="仿宋" w:hAnsi="仿宋" w:eastAsia="仿宋" w:cs="仿宋"/>
                <w:b w:val="0"/>
                <w:bCs w:val="0"/>
                <w:i w:val="0"/>
                <w:iCs w:val="0"/>
                <w:color w:val="000000"/>
                <w:spacing w:val="0"/>
                <w:w w:val="100"/>
                <w:sz w:val="21"/>
                <w:szCs w:val="21"/>
                <w:vertAlign w:val="baseline"/>
              </w:rPr>
              <w:t>董新伟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32CB4F">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基于PBL教学模式的教学设计与反思——以“净水器中的化学”为例</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0794A2">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lang w:eastAsia="zh-CN"/>
              </w:rPr>
            </w:pPr>
            <w:r>
              <w:rPr>
                <w:rFonts w:hint="eastAsia" w:ascii="仿宋" w:hAnsi="仿宋" w:eastAsia="仿宋" w:cs="仿宋"/>
                <w:b w:val="0"/>
                <w:bCs w:val="0"/>
                <w:i w:val="0"/>
                <w:iCs w:val="0"/>
                <w:color w:val="000000"/>
                <w:spacing w:val="0"/>
                <w:w w:val="100"/>
                <w:sz w:val="21"/>
                <w:szCs w:val="21"/>
                <w:vertAlign w:val="baseline"/>
              </w:rPr>
              <w:t>中学化学教学参考</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6325F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2023.03</w:t>
            </w:r>
          </w:p>
        </w:tc>
      </w:tr>
      <w:tr w14:paraId="4699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C4709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马云</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003384B">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基于真实情境发展核心素养的单元教学设计</w:t>
            </w:r>
          </w:p>
          <w:p w14:paraId="07F5A4CD">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——以 “探秘达喜中的化学”为例</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6319A31">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省一等奖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D6BF55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2024.12</w:t>
            </w:r>
          </w:p>
        </w:tc>
      </w:tr>
      <w:tr w14:paraId="5FCCA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7720A5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周贤</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EA1D9F">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初中化学教学中渗透职业生涯教育的研究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A28C1B8">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学习方法报</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2404C4">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2022.05</w:t>
            </w:r>
          </w:p>
        </w:tc>
      </w:tr>
      <w:tr w14:paraId="621CC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0AE0A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周贤</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2BAA86">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大概念理念下的“物质构成的奥秘”单元教学设计研究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8A5E2AF">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省二等奖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C7E73B">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2024.05</w:t>
            </w:r>
          </w:p>
        </w:tc>
      </w:tr>
      <w:tr w14:paraId="00D18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751FC3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22AD0D">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核心素养下初中化学问题化教学探究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8DD6D4">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市一等奖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15E62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2022.11</w:t>
            </w:r>
          </w:p>
        </w:tc>
      </w:tr>
      <w:tr w14:paraId="7B26B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F9115A">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142C5E">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化学单元教学的课堂实践与优化——以</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化学与社会发展</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为例</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565AE1A">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教学与研究</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第4期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EEE884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4</w:t>
            </w:r>
          </w:p>
        </w:tc>
      </w:tr>
      <w:tr w14:paraId="62F2C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72CFE5">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赵变军</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F01EFB">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基于学科前沿知识的“物质构成奥秘”教学设计研究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70F9500">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教学与研究</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第2期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A0678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2</w:t>
            </w:r>
          </w:p>
        </w:tc>
      </w:tr>
      <w:tr w14:paraId="119EB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5142B4A">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赵变军</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55F6CD">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中考化学计算题常考题型的解题研究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486901">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数理化学习</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A210E6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2023.12</w:t>
            </w:r>
          </w:p>
        </w:tc>
      </w:tr>
      <w:tr w14:paraId="7ACB1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D552F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牛改艳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CD3336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初中化学单元教学的实践探索</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9A9705E">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科学与生活</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第17期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89A17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2022.0</w:t>
            </w:r>
            <w:r>
              <w:rPr>
                <w:rFonts w:hint="eastAsia" w:ascii="仿宋" w:hAnsi="仿宋" w:eastAsia="仿宋" w:cs="仿宋"/>
                <w:b w:val="0"/>
                <w:bCs w:val="0"/>
                <w:i w:val="0"/>
                <w:iCs w:val="0"/>
                <w:color w:val="000000"/>
                <w:spacing w:val="0"/>
                <w:w w:val="100"/>
                <w:sz w:val="21"/>
                <w:szCs w:val="21"/>
                <w:vertAlign w:val="baseline"/>
                <w:lang w:val="en-US" w:eastAsia="zh-CN"/>
              </w:rPr>
              <w:t>6</w:t>
            </w:r>
          </w:p>
        </w:tc>
      </w:tr>
      <w:tr w14:paraId="7C5E6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DC1CAE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牛改艳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4D861C3">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初中化学“第一课”教学策略</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149AA54">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课程与教学</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A8415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2022.12</w:t>
            </w:r>
          </w:p>
        </w:tc>
      </w:tr>
      <w:tr w14:paraId="79797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F99CEA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牛改艳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60B8953">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化学学科主题单元教学设计与实施-以“初中化学实验气体的制备、检验和净化”为例</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051B00">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初中生世界</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769EA3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4</w:t>
            </w:r>
          </w:p>
        </w:tc>
      </w:tr>
      <w:tr w14:paraId="4449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C1F31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牛改艳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159C8FB">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深度学习理念下的初中化学主题单元教学设计策略</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3307F86">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天津教育</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8DFEAB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8</w:t>
            </w:r>
          </w:p>
        </w:tc>
      </w:tr>
      <w:tr w14:paraId="4865C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18DCA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牛改艳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68DE8F">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基于新课标探索核心素养与初中化学单元教学的融合</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D6855A9">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科学与生活</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第17期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734E4B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2023.12</w:t>
            </w:r>
          </w:p>
        </w:tc>
      </w:tr>
      <w:tr w14:paraId="67CC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B8B6C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DA8D8B">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加强实验教学，转型中学理科学教方式</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4C9308">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区二等奖</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A70199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2022.05</w:t>
            </w:r>
          </w:p>
        </w:tc>
      </w:tr>
      <w:tr w14:paraId="0A226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9EFEBC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F000EEB">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凤凰数字教材·高中化学配套学习软件·选择性必修1·化学反应原理</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FEDF74">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江苏凤凰电子音像出版社出版发行版号978-7-89514-655-6</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9AEEDC">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2022.08</w:t>
            </w:r>
          </w:p>
        </w:tc>
      </w:tr>
      <w:tr w14:paraId="2188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08C27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75972F">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凤凰数字教材·高中化学配套学习软件·选择性必修3·有机化学基础</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73BAB3">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江苏凤凰电子音像出版社出版发行版号978-7-89514-651-8</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DBAF6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sz w:val="21"/>
                <w:szCs w:val="21"/>
              </w:rPr>
            </w:pPr>
            <w:r>
              <w:rPr>
                <w:rFonts w:hint="eastAsia" w:ascii="仿宋" w:hAnsi="仿宋" w:eastAsia="仿宋" w:cs="仿宋"/>
                <w:b w:val="0"/>
                <w:bCs w:val="0"/>
                <w:i w:val="0"/>
                <w:iCs w:val="0"/>
                <w:color w:val="000000"/>
                <w:spacing w:val="0"/>
                <w:w w:val="100"/>
                <w:sz w:val="21"/>
                <w:szCs w:val="21"/>
                <w:vertAlign w:val="baseline"/>
              </w:rPr>
              <w:t>2022.08</w:t>
            </w:r>
          </w:p>
        </w:tc>
      </w:tr>
      <w:tr w14:paraId="0E1BA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4487C30">
            <w:pPr>
              <w:pStyle w:val="9"/>
              <w:keepNext w:val="0"/>
              <w:keepLines w:val="0"/>
              <w:widowControl/>
              <w:suppressLineNumbers w:val="0"/>
              <w:spacing w:before="0" w:beforeAutospacing="0" w:after="0" w:afterAutospacing="0"/>
              <w:ind w:left="0" w:right="0"/>
              <w:jc w:val="center"/>
              <w:rPr>
                <w:rFonts w:hint="default"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华叶艳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9BAA6D">
            <w:pPr>
              <w:pStyle w:val="9"/>
              <w:keepNext w:val="0"/>
              <w:keepLines w:val="0"/>
              <w:widowControl/>
              <w:suppressLineNumbers w:val="0"/>
              <w:spacing w:before="0" w:beforeAutospacing="0" w:after="0" w:afterAutospacing="0"/>
              <w:ind w:left="0" w:right="0"/>
              <w:jc w:val="both"/>
              <w:rPr>
                <w:rFonts w:hint="default"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例谈基于生活情境的初中化学大单元复习课</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7E4A4EB">
            <w:pPr>
              <w:pStyle w:val="9"/>
              <w:keepNext w:val="0"/>
              <w:keepLines w:val="0"/>
              <w:widowControl/>
              <w:suppressLineNumbers w:val="0"/>
              <w:spacing w:before="0" w:beforeAutospacing="0" w:after="0" w:afterAutospacing="0"/>
              <w:ind w:left="0" w:right="0"/>
              <w:jc w:val="left"/>
              <w:rPr>
                <w:rFonts w:hint="default"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时代教育，第10期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B26BAF">
            <w:pPr>
              <w:pStyle w:val="9"/>
              <w:keepNext w:val="0"/>
              <w:keepLines w:val="0"/>
              <w:widowControl/>
              <w:suppressLineNumbers w:val="0"/>
              <w:spacing w:before="0" w:beforeAutospacing="0" w:after="0" w:afterAutospacing="0"/>
              <w:ind w:left="0" w:right="0"/>
              <w:jc w:val="center"/>
              <w:rPr>
                <w:rFonts w:hint="default"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2023.05</w:t>
            </w:r>
          </w:p>
        </w:tc>
      </w:tr>
      <w:tr w14:paraId="5C3C9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32E45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lang w:val="en-US" w:eastAsia="zh-CN"/>
              </w:rPr>
              <w:t>华叶艳</w:t>
            </w:r>
          </w:p>
        </w:tc>
        <w:tc>
          <w:tcPr>
            <w:tcW w:w="4090"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182784F">
            <w:pPr>
              <w:pStyle w:val="9"/>
              <w:keepNext w:val="0"/>
              <w:keepLines w:val="0"/>
              <w:widowControl/>
              <w:suppressLineNumbers w:val="0"/>
              <w:spacing w:before="0" w:beforeAutospacing="0" w:after="0" w:afterAutospacing="0"/>
              <w:ind w:left="0" w:right="0"/>
              <w:jc w:val="both"/>
              <w:rPr>
                <w:rFonts w:hint="default"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lang w:val="en-US" w:eastAsia="zh-CN"/>
              </w:rPr>
              <w:t>双减</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lang w:val="en-US" w:eastAsia="zh-CN"/>
              </w:rPr>
              <w:t>背景下初中化学作业设计与实践研究</w:t>
            </w:r>
          </w:p>
        </w:tc>
        <w:tc>
          <w:tcPr>
            <w:tcW w:w="2061"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E78904">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教学与研究</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第</w:t>
            </w:r>
            <w:r>
              <w:rPr>
                <w:rFonts w:hint="eastAsia" w:ascii="仿宋" w:hAnsi="仿宋" w:eastAsia="仿宋" w:cs="仿宋"/>
                <w:b w:val="0"/>
                <w:bCs w:val="0"/>
                <w:i w:val="0"/>
                <w:iCs w:val="0"/>
                <w:color w:val="000000"/>
                <w:spacing w:val="0"/>
                <w:w w:val="100"/>
                <w:sz w:val="21"/>
                <w:szCs w:val="21"/>
                <w:vertAlign w:val="baseline"/>
                <w:lang w:val="en-US" w:eastAsia="zh-CN"/>
              </w:rPr>
              <w:t>7</w:t>
            </w:r>
            <w:r>
              <w:rPr>
                <w:rFonts w:hint="eastAsia" w:ascii="仿宋" w:hAnsi="仿宋" w:eastAsia="仿宋" w:cs="仿宋"/>
                <w:b w:val="0"/>
                <w:bCs w:val="0"/>
                <w:i w:val="0"/>
                <w:iCs w:val="0"/>
                <w:color w:val="000000"/>
                <w:spacing w:val="0"/>
                <w:w w:val="100"/>
                <w:sz w:val="21"/>
                <w:szCs w:val="21"/>
                <w:vertAlign w:val="baseline"/>
              </w:rPr>
              <w:t>期</w:t>
            </w:r>
          </w:p>
        </w:tc>
        <w:tc>
          <w:tcPr>
            <w:tcW w:w="115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CCCDADD">
            <w:pPr>
              <w:pStyle w:val="9"/>
              <w:keepNext w:val="0"/>
              <w:keepLines w:val="0"/>
              <w:widowControl/>
              <w:suppressLineNumbers w:val="0"/>
              <w:spacing w:before="0" w:beforeAutospacing="0" w:after="0" w:afterAutospacing="0"/>
              <w:ind w:left="0" w:right="0"/>
              <w:jc w:val="center"/>
              <w:rPr>
                <w:rFonts w:hint="default" w:ascii="仿宋" w:hAnsi="仿宋" w:eastAsia="仿宋" w:cs="仿宋"/>
                <w:b w:val="0"/>
                <w:bCs w:val="0"/>
                <w:i w:val="0"/>
                <w:iCs w:val="0"/>
                <w:color w:val="000000"/>
                <w:spacing w:val="0"/>
                <w:w w:val="100"/>
                <w:sz w:val="21"/>
                <w:szCs w:val="21"/>
                <w:vertAlign w:val="baseline"/>
                <w:lang w:val="en-US"/>
              </w:rPr>
            </w:pPr>
            <w:r>
              <w:rPr>
                <w:rFonts w:hint="eastAsia" w:ascii="仿宋" w:hAnsi="仿宋" w:eastAsia="仿宋" w:cs="仿宋"/>
                <w:b w:val="0"/>
                <w:bCs w:val="0"/>
                <w:i w:val="0"/>
                <w:iCs w:val="0"/>
                <w:color w:val="000000"/>
                <w:spacing w:val="0"/>
                <w:w w:val="100"/>
                <w:sz w:val="21"/>
                <w:szCs w:val="21"/>
                <w:vertAlign w:val="baseline"/>
                <w:lang w:val="en-US" w:eastAsia="zh-CN"/>
              </w:rPr>
              <w:t>2023.07</w:t>
            </w:r>
          </w:p>
        </w:tc>
      </w:tr>
    </w:tbl>
    <w:p w14:paraId="0FB14811">
      <w:pPr>
        <w:ind w:firstLine="420" w:firstLineChars="200"/>
        <w:rPr>
          <w:b/>
          <w:szCs w:val="21"/>
        </w:rPr>
      </w:pPr>
      <w:r>
        <w:rPr>
          <w:rFonts w:hint="eastAsia"/>
          <w:b/>
          <w:bCs/>
        </w:rPr>
        <w:t>(</w:t>
      </w:r>
      <w:r>
        <w:rPr>
          <w:rFonts w:hint="eastAsia"/>
          <w:b/>
          <w:bCs/>
          <w:lang w:val="en-US" w:eastAsia="zh-CN"/>
        </w:rPr>
        <w:t>2</w:t>
      </w:r>
      <w:r>
        <w:rPr>
          <w:rFonts w:hint="eastAsia"/>
          <w:b/>
          <w:bCs/>
        </w:rPr>
        <w:t>)开展了大量的公开课研究课教学实践</w:t>
      </w:r>
      <w:r>
        <w:rPr>
          <w:rFonts w:hint="eastAsia"/>
          <w:b/>
          <w:bCs/>
          <w:lang w:eastAsia="zh-CN"/>
        </w:rPr>
        <w:t>，</w:t>
      </w:r>
      <w:r>
        <w:rPr>
          <w:rFonts w:hint="eastAsia"/>
          <w:b/>
          <w:bCs/>
        </w:rPr>
        <w:t>提炼经验开展讲座辐射课题研究成果</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082"/>
        <w:gridCol w:w="4936"/>
        <w:gridCol w:w="877"/>
        <w:gridCol w:w="1352"/>
      </w:tblGrid>
      <w:tr w14:paraId="16D6A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A150C7">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姓名</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710B3A3">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开课</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lang w:val="en-US" w:eastAsia="zh-CN"/>
              </w:rPr>
              <w:t>或讲座）</w:t>
            </w:r>
            <w:r>
              <w:rPr>
                <w:rFonts w:hint="eastAsia" w:ascii="仿宋" w:hAnsi="仿宋" w:eastAsia="仿宋" w:cs="仿宋"/>
                <w:b w:val="0"/>
                <w:bCs w:val="0"/>
                <w:i w:val="0"/>
                <w:iCs w:val="0"/>
                <w:color w:val="000000"/>
                <w:spacing w:val="0"/>
                <w:w w:val="100"/>
                <w:sz w:val="21"/>
                <w:szCs w:val="21"/>
                <w:vertAlign w:val="baseline"/>
              </w:rPr>
              <w:t>课题</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0FB88D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级别</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4E6C8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开课时间</w:t>
            </w:r>
          </w:p>
        </w:tc>
      </w:tr>
      <w:tr w14:paraId="59AA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723B3D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93D7A2C">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遇见”莫尔盐》</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F5853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295B8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06</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02</w:t>
            </w:r>
          </w:p>
        </w:tc>
      </w:tr>
      <w:tr w14:paraId="511C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93443E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20F8DCD">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说播课</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碳循环”的魅力》</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761EAC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省级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0C8FF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2022.04</w:t>
            </w:r>
          </w:p>
        </w:tc>
      </w:tr>
      <w:tr w14:paraId="6CEFD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8F0F12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FB1D457">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化学中考复习教学策略》</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D34C7E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81742A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4</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05</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20</w:t>
            </w:r>
          </w:p>
        </w:tc>
      </w:tr>
      <w:tr w14:paraId="5E94C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9C4AA4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2304FE">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讲座《“物质的性质与应用”主题大概念的理解与应用》</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84D86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A8D8F0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4</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03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29</w:t>
            </w:r>
          </w:p>
        </w:tc>
      </w:tr>
      <w:tr w14:paraId="0F61C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38A79E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3B299F">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讲座《初中化学教师基本功比赛项目的若干讨论》</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91C271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AC262B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10</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17</w:t>
            </w:r>
          </w:p>
        </w:tc>
      </w:tr>
      <w:tr w14:paraId="7F0C1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FE8A40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732670">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讲座《学科核心素养导向下的初中化学单元教学研究》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70B6B2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9F00A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11</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17</w:t>
            </w:r>
          </w:p>
        </w:tc>
      </w:tr>
      <w:tr w14:paraId="03F53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3D6EC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8217CD6">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讲座《学科核心素养导向下的初中化学单元教学研究》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12451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C0164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09</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22</w:t>
            </w:r>
          </w:p>
        </w:tc>
      </w:tr>
      <w:tr w14:paraId="742E0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AAA28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8C8053">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讲座《学科核心素养导向下的初中化学单元教学设计》</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E9CFF1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1CA48E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08</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21</w:t>
            </w:r>
          </w:p>
        </w:tc>
      </w:tr>
      <w:tr w14:paraId="7B107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85E83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8F26F8">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讲座《大概念统领下的初中化学单元教学实践研究》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2E75CB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221AF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3</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11</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10</w:t>
            </w:r>
          </w:p>
        </w:tc>
      </w:tr>
      <w:tr w14:paraId="7A0E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077F30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3E1A274">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《科学家怎样研究有机物》</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C7FFEE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省级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6EC79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2022.09</w:t>
            </w:r>
          </w:p>
        </w:tc>
      </w:tr>
      <w:tr w14:paraId="0E5AD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83B58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B59B8B3">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《影响化学反应速率的因素》</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D7962D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B490A1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2022.12</w:t>
            </w:r>
          </w:p>
        </w:tc>
      </w:tr>
      <w:tr w14:paraId="4D5D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1E131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5C95CB1">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《沉淀溶解平衡》</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26689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626A68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2021.12</w:t>
            </w:r>
          </w:p>
        </w:tc>
      </w:tr>
      <w:tr w14:paraId="6EB6D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67F8E2">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D2DAA92">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《关联与增值-基于2022初中化学新课标大概念理念下的单元教学实践探索》</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E22F3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B94390">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2022.10</w:t>
            </w:r>
          </w:p>
        </w:tc>
      </w:tr>
      <w:tr w14:paraId="79CA1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07CE3D">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1C422A">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《中学化学项目式教学案例分析》</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1EB0C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C76A26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2022.12</w:t>
            </w:r>
          </w:p>
        </w:tc>
      </w:tr>
      <w:tr w14:paraId="07E9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43BCF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F5FFD4">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《初中化学实验创新的实践与思考》</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BAF224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E9BAF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2022.12</w:t>
            </w:r>
          </w:p>
        </w:tc>
      </w:tr>
      <w:tr w14:paraId="22343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12B2F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3DB305F">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《初中化学教学设计的逻辑与评价》</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1697A1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5686A7">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2022.01</w:t>
            </w:r>
          </w:p>
        </w:tc>
      </w:tr>
      <w:tr w14:paraId="35C4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60C328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8EF3EA">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《初中化学实验的创新与实践漫谈》</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0EC5DA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5FE817">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2024.03</w:t>
            </w:r>
          </w:p>
        </w:tc>
      </w:tr>
      <w:tr w14:paraId="58FE5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343EC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CC714D7">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《从“解题”到“解决问题”的实践思考与认识》</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3E6E0F4">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0D6D26D">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2023.04</w:t>
            </w:r>
          </w:p>
        </w:tc>
      </w:tr>
      <w:tr w14:paraId="541F2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BBD2FE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40664D">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《初中化学教学创新与实践漫谈》</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BDDA114">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B77A9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2023.08</w:t>
            </w:r>
          </w:p>
        </w:tc>
      </w:tr>
      <w:tr w14:paraId="41EF5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864889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6E1129">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《关联与增值——基于2022初中化学新课标大概念理念下的单元教学实践探索》</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2CB5CBB">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364367">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2022.10</w:t>
            </w:r>
          </w:p>
        </w:tc>
      </w:tr>
      <w:tr w14:paraId="5B6F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9E30C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9C244C9">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《中学化学项目式教学案例分析》</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0BC14B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26E53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2022.12</w:t>
            </w:r>
          </w:p>
        </w:tc>
      </w:tr>
      <w:tr w14:paraId="0B21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32BC42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B0ED36">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《初中化学教学设计的理性与逻辑》</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5F86CC">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6795D8">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2022.03</w:t>
            </w:r>
          </w:p>
        </w:tc>
      </w:tr>
      <w:tr w14:paraId="02B0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EAD40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69C2E79">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《学科组建设的应为与何为》</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47CCDD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0473E99">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2022.02</w:t>
            </w:r>
          </w:p>
        </w:tc>
      </w:tr>
      <w:tr w14:paraId="29653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F607F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669827">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《现状与对策——区初中物理学科质量调研反馈》</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2D860D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A75D5A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2022.04</w:t>
            </w:r>
          </w:p>
        </w:tc>
      </w:tr>
      <w:tr w14:paraId="2991F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AB4642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289CF1D">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《区初中化学青年教师基本功大赛点评》</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054BD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28C34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2022.04</w:t>
            </w:r>
          </w:p>
        </w:tc>
      </w:tr>
      <w:tr w14:paraId="07D97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B3B96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16B8DE0">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《现状与对策——区初中化学学科质量调研反馈》</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2A247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A59A2F">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2022.04</w:t>
            </w:r>
          </w:p>
        </w:tc>
      </w:tr>
      <w:tr w14:paraId="3ADC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396F0E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1613E4C">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《初中生物新课标的修订与教学启示》</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ACBE7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A6A569C">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2022.05</w:t>
            </w:r>
          </w:p>
        </w:tc>
      </w:tr>
      <w:tr w14:paraId="59E9D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D2BB36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124CD93">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《初中化学新课标的修订与教学启示》</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EAEA8B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536057">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2022.05</w:t>
            </w:r>
          </w:p>
        </w:tc>
      </w:tr>
      <w:tr w14:paraId="38F27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D5D70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2BEF85">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《例谈初中化学复习的举措》</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CB6AF0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947D665">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2023.03</w:t>
            </w:r>
          </w:p>
        </w:tc>
      </w:tr>
      <w:tr w14:paraId="18DD7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EF8C9D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aps w:val="0"/>
                <w:color w:val="000000"/>
                <w:spacing w:val="0"/>
                <w:sz w:val="21"/>
                <w:szCs w:val="21"/>
                <w:vertAlign w:val="baseline"/>
              </w:rPr>
              <w:t>董新伟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89DF6B">
            <w:pPr>
              <w:pStyle w:val="9"/>
              <w:keepNext w:val="0"/>
              <w:keepLines w:val="0"/>
              <w:widowControl/>
              <w:suppressLineNumbers w:val="0"/>
              <w:spacing w:before="0" w:beforeAutospacing="0" w:after="0" w:afterAutospacing="0"/>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w:t>
            </w:r>
            <w:r>
              <w:rPr>
                <w:rFonts w:hint="eastAsia" w:ascii="仿宋" w:hAnsi="仿宋" w:eastAsia="仿宋" w:cs="仿宋"/>
                <w:b w:val="0"/>
                <w:bCs w:val="0"/>
                <w:i w:val="0"/>
                <w:iCs w:val="0"/>
                <w:caps w:val="0"/>
                <w:color w:val="000000"/>
                <w:spacing w:val="0"/>
                <w:sz w:val="21"/>
                <w:szCs w:val="21"/>
                <w:vertAlign w:val="baseline"/>
              </w:rPr>
              <w:t>《经开区初中化学一模监测的现状分析与对应策略》</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C1F0F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DBC597">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aps w:val="0"/>
                <w:color w:val="000000"/>
                <w:spacing w:val="0"/>
                <w:sz w:val="21"/>
                <w:szCs w:val="21"/>
                <w:vertAlign w:val="baseline"/>
              </w:rPr>
              <w:t>2023.05</w:t>
            </w:r>
          </w:p>
        </w:tc>
      </w:tr>
      <w:tr w14:paraId="7DBAA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942CB1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俞银龙</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165A061">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构成物质的微粒</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——分子与原子</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DF27B1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9DECD4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2023.10.13</w:t>
            </w:r>
          </w:p>
        </w:tc>
      </w:tr>
      <w:tr w14:paraId="78909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E18D5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俞银龙</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860661">
            <w:pPr>
              <w:pStyle w:val="9"/>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《物质构成的奥秘》复习——以“尿素的合成”为例</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ACDFC8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F27DF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2024.10.31</w:t>
            </w:r>
          </w:p>
        </w:tc>
      </w:tr>
      <w:tr w14:paraId="798F2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6B2620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俞银龙</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0BF4E9">
            <w:pPr>
              <w:pStyle w:val="9"/>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《物质构成的奥秘》复习——以“尿素的合成”为例</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C8A7C6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省级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45C712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2024.12.04</w:t>
            </w:r>
          </w:p>
        </w:tc>
      </w:tr>
      <w:tr w14:paraId="254DE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A72C4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俞银龙</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66357C2">
            <w:pPr>
              <w:pStyle w:val="9"/>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讲座《2022版新课标“身边的化学物质”单元教学实施纲要解读》</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0A536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FA431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2</w:t>
            </w:r>
            <w:r>
              <w:rPr>
                <w:rFonts w:hint="eastAsia" w:ascii="仿宋" w:hAnsi="仿宋" w:eastAsia="仿宋" w:cs="仿宋"/>
                <w:b w:val="0"/>
                <w:bCs w:val="0"/>
                <w:i w:val="0"/>
                <w:iCs w:val="0"/>
                <w:color w:val="000000"/>
                <w:spacing w:val="0"/>
                <w:w w:val="100"/>
                <w:sz w:val="21"/>
                <w:szCs w:val="21"/>
                <w:vertAlign w:val="baseline"/>
              </w:rPr>
              <w:t>.10.</w:t>
            </w:r>
            <w:r>
              <w:rPr>
                <w:rFonts w:hint="eastAsia" w:ascii="仿宋" w:hAnsi="仿宋" w:eastAsia="仿宋" w:cs="仿宋"/>
                <w:b w:val="0"/>
                <w:bCs w:val="0"/>
                <w:i w:val="0"/>
                <w:iCs w:val="0"/>
                <w:color w:val="000000"/>
                <w:spacing w:val="0"/>
                <w:w w:val="100"/>
                <w:sz w:val="21"/>
                <w:szCs w:val="21"/>
                <w:vertAlign w:val="baseline"/>
                <w:lang w:val="en-US" w:eastAsia="zh-CN"/>
              </w:rPr>
              <w:t>20</w:t>
            </w:r>
          </w:p>
        </w:tc>
      </w:tr>
      <w:tr w14:paraId="1A753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64FBF0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俞银龙</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9CAA01">
            <w:pPr>
              <w:pStyle w:val="9"/>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sz w:val="21"/>
                <w:szCs w:val="21"/>
                <w:lang w:val="en-US" w:eastAsia="zh-CN"/>
              </w:rPr>
              <w:t>讲座《学科核心素养导向下的初中化学单元教学研究》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1FF97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62CB2E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2</w:t>
            </w:r>
            <w:r>
              <w:rPr>
                <w:rFonts w:hint="eastAsia" w:ascii="仿宋" w:hAnsi="仿宋" w:eastAsia="仿宋" w:cs="仿宋"/>
                <w:b w:val="0"/>
                <w:bCs w:val="0"/>
                <w:i w:val="0"/>
                <w:iCs w:val="0"/>
                <w:color w:val="000000"/>
                <w:spacing w:val="0"/>
                <w:w w:val="100"/>
                <w:sz w:val="21"/>
                <w:szCs w:val="21"/>
                <w:vertAlign w:val="baseline"/>
              </w:rPr>
              <w:t>.1</w:t>
            </w:r>
            <w:r>
              <w:rPr>
                <w:rFonts w:hint="eastAsia" w:ascii="仿宋" w:hAnsi="仿宋" w:eastAsia="仿宋" w:cs="仿宋"/>
                <w:b w:val="0"/>
                <w:bCs w:val="0"/>
                <w:i w:val="0"/>
                <w:iCs w:val="0"/>
                <w:color w:val="000000"/>
                <w:spacing w:val="0"/>
                <w:w w:val="100"/>
                <w:sz w:val="21"/>
                <w:szCs w:val="21"/>
                <w:vertAlign w:val="baseline"/>
                <w:lang w:val="en-US" w:eastAsia="zh-CN"/>
              </w:rPr>
              <w:t>1</w:t>
            </w:r>
            <w:r>
              <w:rPr>
                <w:rFonts w:hint="eastAsia" w:ascii="仿宋" w:hAnsi="仿宋" w:eastAsia="仿宋" w:cs="仿宋"/>
                <w:b w:val="0"/>
                <w:bCs w:val="0"/>
                <w:i w:val="0"/>
                <w:iCs w:val="0"/>
                <w:color w:val="000000"/>
                <w:spacing w:val="0"/>
                <w:w w:val="100"/>
                <w:sz w:val="21"/>
                <w:szCs w:val="21"/>
                <w:vertAlign w:val="baseline"/>
              </w:rPr>
              <w:t>.</w:t>
            </w:r>
            <w:r>
              <w:rPr>
                <w:rFonts w:hint="eastAsia" w:ascii="仿宋" w:hAnsi="仿宋" w:eastAsia="仿宋" w:cs="仿宋"/>
                <w:b w:val="0"/>
                <w:bCs w:val="0"/>
                <w:i w:val="0"/>
                <w:iCs w:val="0"/>
                <w:color w:val="000000"/>
                <w:spacing w:val="0"/>
                <w:w w:val="100"/>
                <w:sz w:val="21"/>
                <w:szCs w:val="21"/>
                <w:vertAlign w:val="baseline"/>
                <w:lang w:val="en-US" w:eastAsia="zh-CN"/>
              </w:rPr>
              <w:t>10</w:t>
            </w:r>
          </w:p>
        </w:tc>
      </w:tr>
      <w:tr w14:paraId="45AEB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3CA2BE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37288A">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《溶解现象》</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8A2E2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485EE8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2021.12.</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1</w:t>
            </w:r>
          </w:p>
        </w:tc>
      </w:tr>
      <w:tr w14:paraId="2600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C2F72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7EA70A">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《二氧化碳的性质》</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BEBD02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CBC0D4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9.22</w:t>
            </w:r>
          </w:p>
        </w:tc>
      </w:tr>
      <w:tr w14:paraId="17956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25BBA0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186596D">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《第二章单元复习》</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2801FB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109A6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2023.10.13</w:t>
            </w:r>
          </w:p>
        </w:tc>
      </w:tr>
      <w:tr w14:paraId="2A612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774368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2D803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《化学方程式的书写与应用》</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01EFC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AD0F5D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2023.11.17</w:t>
            </w:r>
          </w:p>
        </w:tc>
      </w:tr>
      <w:tr w14:paraId="2FB8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83C2D7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AD37B1F">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《探秘自动充气气球》</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926C56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F7580A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3.29</w:t>
            </w:r>
          </w:p>
        </w:tc>
      </w:tr>
      <w:tr w14:paraId="259C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5A7488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凌娟</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1B1DDEF">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《航天中的化学》</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4FC3C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40A80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4.26</w:t>
            </w:r>
          </w:p>
        </w:tc>
      </w:tr>
      <w:tr w14:paraId="14AF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20F974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马云</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D5E13E2">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几种常见的盐</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EE132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BDCB76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2023.02.21</w:t>
            </w:r>
          </w:p>
        </w:tc>
      </w:tr>
      <w:tr w14:paraId="255C3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A994F2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马云</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C2D300">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物质在水中的分散</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32109C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562C78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2023.12.08</w:t>
            </w:r>
          </w:p>
        </w:tc>
      </w:tr>
      <w:tr w14:paraId="0421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D6DFC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马云</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1702D0">
            <w:pPr>
              <w:pStyle w:val="9"/>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《守护胃来 保胃健康》——探秘“达喜”中的化学</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2C255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06632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2024.03.29</w:t>
            </w:r>
          </w:p>
        </w:tc>
      </w:tr>
      <w:tr w14:paraId="069E5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31696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马云</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B693DD">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溶解现象</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复习课</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85DBB0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6B76CB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2024.06.07</w:t>
            </w:r>
          </w:p>
        </w:tc>
      </w:tr>
      <w:tr w14:paraId="4C311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D22738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周贤</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E4FFD6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《构成物质的化学元素》</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C2E38A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9B1DC8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2023.10.20</w:t>
            </w:r>
          </w:p>
        </w:tc>
      </w:tr>
      <w:tr w14:paraId="7A333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8AB40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周贤</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2816D71">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《叩问天穹、化学助力-物质构成的奥秘复习》</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CB367B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9609E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4.26</w:t>
            </w:r>
          </w:p>
        </w:tc>
      </w:tr>
      <w:tr w14:paraId="6A92C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1ADF80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薛冰</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B127788">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《金属防护与废金属回收》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877B3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E09EA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2021.12.16</w:t>
            </w:r>
          </w:p>
        </w:tc>
      </w:tr>
      <w:tr w14:paraId="740DF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A69D33">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薛冰</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F50C2DA">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《龙泉宝剑是怎么炼成的》</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3C1D27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D9CD914">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2023.12.25</w:t>
            </w:r>
          </w:p>
        </w:tc>
      </w:tr>
      <w:tr w14:paraId="25C6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A529A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薛冰</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1498B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《发酵传承传统 赋能生产生活》</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21C39F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AE846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6.</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7</w:t>
            </w:r>
          </w:p>
        </w:tc>
      </w:tr>
      <w:tr w14:paraId="037C8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1D5589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周晶</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35E760">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物质构成的奥秘</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复习——液态阳光寻访记</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C25722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66BA68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2022.11.10</w:t>
            </w:r>
          </w:p>
        </w:tc>
      </w:tr>
      <w:tr w14:paraId="14100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57A226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周晶</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19E7AE8">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变化的溶液</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 xml:space="preserve"> </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B6F2C7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8658CE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5.19</w:t>
            </w:r>
          </w:p>
        </w:tc>
      </w:tr>
      <w:tr w14:paraId="22A3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DB971E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周晶</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48CC8C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家用燃料的变迁历史</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830BA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7173C5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5.20</w:t>
            </w:r>
          </w:p>
        </w:tc>
      </w:tr>
      <w:tr w14:paraId="46B43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E134C8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华叶艳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13202C2">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《溶解现象》复习课</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92B58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393D12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2022.04</w:t>
            </w:r>
          </w:p>
        </w:tc>
      </w:tr>
      <w:tr w14:paraId="12916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FA1F3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华叶艳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4CDA1E1">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《化学与社会发展》复习课</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00D71D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4C746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4.28</w:t>
            </w:r>
          </w:p>
        </w:tc>
      </w:tr>
      <w:tr w14:paraId="54452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EC0C1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华叶艳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8944368">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《碳和碳的化合物专题复习》</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CA3128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9EBDE9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2023.06.09</w:t>
            </w:r>
          </w:p>
        </w:tc>
      </w:tr>
      <w:tr w14:paraId="44F58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509AF5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华叶艳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2AFCCAE">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管道疏通剂，我们有“化”说</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E22094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5949BE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2024.04.19</w:t>
            </w:r>
          </w:p>
        </w:tc>
      </w:tr>
      <w:tr w14:paraId="5D419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76CB94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华叶艳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953EEC8">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酸碱盐</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复习课</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7EF27B6">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E141E57">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2024.04.10</w:t>
            </w:r>
          </w:p>
        </w:tc>
      </w:tr>
      <w:tr w14:paraId="37E27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E73505E">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赵变军</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4CDBCA9">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开启化学之门</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复习</w:t>
            </w:r>
            <w:r>
              <w:rPr>
                <w:rFonts w:hint="eastAsia" w:ascii="仿宋" w:hAnsi="仿宋" w:eastAsia="仿宋" w:cs="仿宋"/>
                <w:b w:val="0"/>
                <w:bCs w:val="0"/>
                <w:i w:val="0"/>
                <w:iCs w:val="0"/>
                <w:color w:val="000000"/>
                <w:spacing w:val="0"/>
                <w:w w:val="100"/>
                <w:sz w:val="21"/>
                <w:szCs w:val="21"/>
                <w:vertAlign w:val="baseline"/>
                <w:lang w:val="en-US" w:eastAsia="zh-CN"/>
              </w:rPr>
              <w:t>课</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592D1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C3551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2022.</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9.20</w:t>
            </w:r>
          </w:p>
        </w:tc>
      </w:tr>
      <w:tr w14:paraId="7F5B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4B0EEF2">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赵变军</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A70BC74">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物质的变化与转化</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34BBF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CFB96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2023.12.27</w:t>
            </w:r>
          </w:p>
        </w:tc>
      </w:tr>
      <w:tr w14:paraId="366F5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E308EFA">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赵变军</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2DB764">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家用燃料</w:t>
            </w:r>
            <w:r>
              <w:rPr>
                <w:rFonts w:hint="eastAsia" w:ascii="仿宋" w:hAnsi="仿宋" w:eastAsia="仿宋" w:cs="仿宋"/>
                <w:b w:val="0"/>
                <w:bCs w:val="0"/>
                <w:i w:val="0"/>
                <w:iCs w:val="0"/>
                <w:color w:val="000000"/>
                <w:spacing w:val="0"/>
                <w:w w:val="100"/>
                <w:sz w:val="21"/>
                <w:szCs w:val="21"/>
                <w:vertAlign w:val="baseline"/>
                <w:lang w:eastAsia="zh-CN"/>
              </w:rPr>
              <w:t>——</w:t>
            </w:r>
            <w:r>
              <w:rPr>
                <w:rFonts w:hint="eastAsia" w:ascii="仿宋" w:hAnsi="仿宋" w:eastAsia="仿宋" w:cs="仿宋"/>
                <w:b w:val="0"/>
                <w:bCs w:val="0"/>
                <w:i w:val="0"/>
                <w:iCs w:val="0"/>
                <w:color w:val="000000"/>
                <w:spacing w:val="0"/>
                <w:w w:val="100"/>
                <w:sz w:val="21"/>
                <w:szCs w:val="21"/>
                <w:vertAlign w:val="baseline"/>
              </w:rPr>
              <w:t>“氢”起未来</w:t>
            </w:r>
            <w:r>
              <w:rPr>
                <w:rFonts w:hint="eastAsia" w:ascii="仿宋" w:hAnsi="仿宋" w:eastAsia="仿宋" w:cs="仿宋"/>
                <w:b w:val="0"/>
                <w:bCs w:val="0"/>
                <w:i w:val="0"/>
                <w:iCs w:val="0"/>
                <w:color w:val="000000"/>
                <w:spacing w:val="0"/>
                <w:w w:val="100"/>
                <w:sz w:val="21"/>
                <w:szCs w:val="21"/>
                <w:vertAlign w:val="baseline"/>
                <w:lang w:eastAsia="zh-CN"/>
              </w:rPr>
              <w:t>》</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DD3DA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A0B19C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5.20</w:t>
            </w:r>
          </w:p>
        </w:tc>
      </w:tr>
      <w:tr w14:paraId="3A6D6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35B701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牛改艳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E2E641C">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《食品中的有机化合物》复习课-青团与清明的千年之约</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A133BF">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市级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2E039EC">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2023.03.09</w:t>
            </w:r>
          </w:p>
        </w:tc>
      </w:tr>
      <w:tr w14:paraId="54428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FE3C801">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牛改艳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07B44D0">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《发酵传承传统 赋能生产生活》</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5EFC30">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B6A27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 xml:space="preserve"> 2024.06.07</w:t>
            </w:r>
          </w:p>
        </w:tc>
      </w:tr>
      <w:tr w14:paraId="618B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108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763607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牛改艳</w:t>
            </w:r>
          </w:p>
        </w:tc>
        <w:tc>
          <w:tcPr>
            <w:tcW w:w="49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C0A5C5">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讲座《基于化学学科教室场景下主题单元教学设计与实施的研究》</w:t>
            </w:r>
          </w:p>
        </w:tc>
        <w:tc>
          <w:tcPr>
            <w:tcW w:w="877"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84C908">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rPr>
              <w:t>区级</w:t>
            </w:r>
          </w:p>
        </w:tc>
        <w:tc>
          <w:tcPr>
            <w:tcW w:w="1352"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AC5624D">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2022.01</w:t>
            </w:r>
          </w:p>
        </w:tc>
      </w:tr>
    </w:tbl>
    <w:p w14:paraId="7BF50723">
      <w:pPr>
        <w:ind w:firstLine="420" w:firstLineChars="200"/>
        <w:rPr>
          <w:b/>
          <w:bCs/>
        </w:rPr>
      </w:pPr>
      <w:r>
        <w:rPr>
          <w:rFonts w:hint="eastAsia"/>
          <w:b/>
          <w:bCs/>
        </w:rPr>
        <w:t>(</w:t>
      </w:r>
      <w:r>
        <w:rPr>
          <w:rFonts w:hint="eastAsia"/>
          <w:b/>
          <w:bCs/>
          <w:lang w:val="en-US" w:eastAsia="zh-CN"/>
        </w:rPr>
        <w:t>3</w:t>
      </w:r>
      <w:r>
        <w:rPr>
          <w:rFonts w:hint="eastAsia"/>
          <w:b/>
          <w:bCs/>
        </w:rPr>
        <w:t>)开发了创新实验作品、优秀自制教具学具</w:t>
      </w:r>
    </w:p>
    <w:p w14:paraId="4B9B9B62">
      <w:pPr>
        <w:ind w:firstLine="420" w:firstLineChars="200"/>
        <w:rPr>
          <w:rFonts w:hint="eastAsia"/>
          <w:b/>
          <w:szCs w:val="21"/>
        </w:rPr>
      </w:pPr>
      <w:r>
        <w:rPr>
          <w:rFonts w:hint="eastAsia"/>
        </w:rPr>
        <w:t>教师在教学实践中不断开发实验实践活动，形成了优秀实验创新作品，参加了省市区各级创新实验作品展演，学生在实验实践中亲历体验探究活动，激发了他们的好奇心、求知欲、创造性，开发出学生优秀创新实验作品，参加每一年举行的常州市中小学生创新实验大赛，不少作品获得一二等奖。除此以外还有一些教具学具设计精巧，非常适合课堂教学，具有较高的实用价值，也是课题研究的一种成果。</w:t>
      </w:r>
    </w:p>
    <w:p w14:paraId="00656412">
      <w:pPr>
        <w:ind w:firstLine="420" w:firstLineChars="200"/>
        <w:rPr>
          <w:b/>
          <w:szCs w:val="21"/>
        </w:rPr>
      </w:pPr>
      <w:r>
        <w:rPr>
          <w:rFonts w:hint="eastAsia"/>
          <w:b/>
          <w:szCs w:val="21"/>
        </w:rPr>
        <w:t>(</w:t>
      </w:r>
      <w:r>
        <w:rPr>
          <w:rFonts w:hint="eastAsia"/>
          <w:b/>
          <w:szCs w:val="21"/>
          <w:lang w:val="en-US" w:eastAsia="zh-CN"/>
        </w:rPr>
        <w:t>4</w:t>
      </w:r>
      <w:r>
        <w:rPr>
          <w:rFonts w:hint="eastAsia"/>
          <w:b/>
          <w:szCs w:val="21"/>
        </w:rPr>
        <w:t>)积累了课题实践优秀课例资源包</w:t>
      </w:r>
    </w:p>
    <w:p w14:paraId="79531F48">
      <w:pPr>
        <w:ind w:firstLine="420" w:firstLineChars="200"/>
        <w:rPr>
          <w:bCs/>
          <w:szCs w:val="21"/>
        </w:rPr>
      </w:pPr>
      <w:r>
        <w:rPr>
          <w:rFonts w:hint="eastAsia"/>
          <w:bCs/>
          <w:szCs w:val="21"/>
        </w:rPr>
        <w:t>在常州市天宁区教师发展中心和常州经开区教师发展中心的共同规划下，各基地学校积极承办，课题组成员积极投身实践探索，3年来，常州市天宁区-经开区举办了1</w:t>
      </w:r>
      <w:r>
        <w:rPr>
          <w:bCs/>
          <w:szCs w:val="21"/>
        </w:rPr>
        <w:t>0</w:t>
      </w:r>
      <w:r>
        <w:rPr>
          <w:rFonts w:hint="eastAsia"/>
          <w:bCs/>
          <w:szCs w:val="21"/>
        </w:rPr>
        <w:t>次省级课题专项联合教研活动，老师们围绕“学科核心素养导向下的初中化学单元教学实践探索研究”积极开设研究课、公开课、观摩课，积累了丰富的教学案例，得到了扬州大学吴星教授、北师大魏锐教授、苏州大学王伟群教授、盐城师院杨玉琴教授、南师大马宏佳教授、北师大《化学教育》编辑部主任朱玉军博士等高校专家以及江苏省教科院倪娟博士、赵华所长、无锡市教科院吴永才老师、扬州市教科院王峰博士、常州市教科院钱柳云老师、新北区教研室周文荣主任的指导与点评，很多课例转化成为教学课例论文发表，部分文章为核心期刊发表。</w:t>
      </w:r>
    </w:p>
    <w:tbl>
      <w:tblPr>
        <w:tblStyle w:val="11"/>
        <w:tblpPr w:leftFromText="180" w:rightFromText="180" w:vertAnchor="text" w:horzAnchor="page" w:tblpXSpec="center" w:tblpY="82"/>
        <w:tblW w:w="7498" w:type="dxa"/>
        <w:jc w:val="center"/>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5686"/>
        <w:gridCol w:w="1812"/>
      </w:tblGrid>
      <w:tr w14:paraId="6A6C312B">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66" w:hRule="atLeast"/>
          <w:jc w:val="center"/>
        </w:trPr>
        <w:tc>
          <w:tcPr>
            <w:tcW w:w="5686" w:type="dxa"/>
            <w:tcBorders>
              <w:tl2br w:val="nil"/>
              <w:tr2bl w:val="nil"/>
            </w:tcBorders>
            <w:vAlign w:val="center"/>
          </w:tcPr>
          <w:p w14:paraId="41821732">
            <w:pPr>
              <w:jc w:val="center"/>
              <w:rPr>
                <w:rFonts w:ascii="宋体" w:hAnsi="宋体"/>
                <w:b/>
                <w:szCs w:val="21"/>
              </w:rPr>
            </w:pPr>
            <w:r>
              <w:rPr>
                <w:rFonts w:hint="eastAsia"/>
                <w:bCs/>
                <w:szCs w:val="21"/>
              </w:rPr>
              <w:t>学科核心素养导向下的初中化学单元教学实践探索研究优秀课例 资源包</w:t>
            </w:r>
          </w:p>
        </w:tc>
        <w:tc>
          <w:tcPr>
            <w:tcW w:w="1812" w:type="dxa"/>
            <w:tcBorders>
              <w:tl2br w:val="nil"/>
              <w:tr2bl w:val="nil"/>
            </w:tcBorders>
            <w:vAlign w:val="center"/>
          </w:tcPr>
          <w:p w14:paraId="56A49B37">
            <w:pPr>
              <w:jc w:val="center"/>
              <w:rPr>
                <w:rFonts w:ascii="宋体" w:hAnsi="宋体"/>
                <w:b/>
                <w:szCs w:val="21"/>
              </w:rPr>
            </w:pPr>
            <w:r>
              <w:rPr>
                <w:rFonts w:hint="eastAsia" w:ascii="宋体" w:hAnsi="宋体"/>
                <w:b/>
                <w:szCs w:val="21"/>
              </w:rPr>
              <w:t>开发实施者</w:t>
            </w:r>
          </w:p>
        </w:tc>
      </w:tr>
      <w:tr w14:paraId="28A2B0F6">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546" w:hRule="atLeast"/>
          <w:jc w:val="center"/>
        </w:trPr>
        <w:tc>
          <w:tcPr>
            <w:tcW w:w="5686" w:type="dxa"/>
            <w:tcBorders>
              <w:tl2br w:val="nil"/>
              <w:tr2bl w:val="nil"/>
            </w:tcBorders>
            <w:vAlign w:val="center"/>
          </w:tcPr>
          <w:p w14:paraId="2ECBE278">
            <w:pPr>
              <w:jc w:val="center"/>
              <w:rPr>
                <w:rFonts w:ascii="宋体" w:hAnsi="宋体"/>
                <w:szCs w:val="21"/>
              </w:rPr>
            </w:pPr>
            <w:r>
              <w:rPr>
                <w:rFonts w:hint="eastAsia" w:ascii="宋体" w:hAnsi="宋体"/>
                <w:szCs w:val="21"/>
              </w:rPr>
              <w:t>教学设计、学案、实验设计、教具、学具</w:t>
            </w:r>
          </w:p>
        </w:tc>
        <w:tc>
          <w:tcPr>
            <w:tcW w:w="1812" w:type="dxa"/>
            <w:vMerge w:val="restart"/>
            <w:tcBorders>
              <w:tl2br w:val="nil"/>
              <w:tr2bl w:val="nil"/>
            </w:tcBorders>
            <w:vAlign w:val="center"/>
          </w:tcPr>
          <w:p w14:paraId="5B7D2370">
            <w:pPr>
              <w:jc w:val="center"/>
              <w:rPr>
                <w:rFonts w:ascii="宋体" w:hAnsi="宋体"/>
                <w:szCs w:val="21"/>
              </w:rPr>
            </w:pPr>
            <w:r>
              <w:rPr>
                <w:rFonts w:hint="eastAsia" w:ascii="宋体" w:hAnsi="宋体"/>
                <w:szCs w:val="21"/>
              </w:rPr>
              <w:t>课题研究组成员</w:t>
            </w:r>
          </w:p>
        </w:tc>
      </w:tr>
      <w:tr w14:paraId="0A7FD101">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71" w:hRule="atLeast"/>
          <w:jc w:val="center"/>
        </w:trPr>
        <w:tc>
          <w:tcPr>
            <w:tcW w:w="5686" w:type="dxa"/>
            <w:tcBorders>
              <w:tl2br w:val="nil"/>
              <w:tr2bl w:val="nil"/>
            </w:tcBorders>
            <w:vAlign w:val="center"/>
          </w:tcPr>
          <w:p w14:paraId="60696645">
            <w:pPr>
              <w:jc w:val="center"/>
              <w:rPr>
                <w:rFonts w:ascii="宋体" w:hAnsi="宋体"/>
                <w:szCs w:val="21"/>
              </w:rPr>
            </w:pPr>
            <w:r>
              <w:rPr>
                <w:rFonts w:hint="eastAsia" w:ascii="宋体" w:hAnsi="宋体"/>
                <w:szCs w:val="21"/>
              </w:rPr>
              <w:t>课件、教学视频资源、创新实验作品</w:t>
            </w:r>
          </w:p>
        </w:tc>
        <w:tc>
          <w:tcPr>
            <w:tcW w:w="1812" w:type="dxa"/>
            <w:vMerge w:val="continue"/>
            <w:tcBorders>
              <w:tl2br w:val="nil"/>
              <w:tr2bl w:val="nil"/>
            </w:tcBorders>
          </w:tcPr>
          <w:p w14:paraId="2F6EBCE6">
            <w:pPr>
              <w:ind w:firstLine="420" w:firstLineChars="200"/>
              <w:rPr>
                <w:rFonts w:ascii="宋体" w:hAnsi="宋体"/>
                <w:szCs w:val="21"/>
              </w:rPr>
            </w:pPr>
          </w:p>
        </w:tc>
      </w:tr>
      <w:tr w14:paraId="12A67346">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672" w:hRule="atLeast"/>
          <w:jc w:val="center"/>
        </w:trPr>
        <w:tc>
          <w:tcPr>
            <w:tcW w:w="5686" w:type="dxa"/>
            <w:tcBorders>
              <w:tl2br w:val="nil"/>
              <w:tr2bl w:val="nil"/>
            </w:tcBorders>
            <w:vAlign w:val="center"/>
          </w:tcPr>
          <w:p w14:paraId="3AE689C7">
            <w:pPr>
              <w:rPr>
                <w:rFonts w:ascii="宋体" w:hAnsi="宋体"/>
                <w:szCs w:val="21"/>
              </w:rPr>
            </w:pPr>
            <w:r>
              <w:rPr>
                <w:rFonts w:hint="eastAsia" w:ascii="宋体" w:hAnsi="宋体"/>
                <w:szCs w:val="21"/>
              </w:rPr>
              <w:t>教学录像视频、微课、教学课例论文、新课程标准研究论文</w:t>
            </w:r>
          </w:p>
        </w:tc>
        <w:tc>
          <w:tcPr>
            <w:tcW w:w="1812" w:type="dxa"/>
            <w:vMerge w:val="continue"/>
            <w:tcBorders>
              <w:tl2br w:val="nil"/>
              <w:tr2bl w:val="nil"/>
            </w:tcBorders>
          </w:tcPr>
          <w:p w14:paraId="7847431E">
            <w:pPr>
              <w:ind w:firstLine="420" w:firstLineChars="200"/>
              <w:rPr>
                <w:rFonts w:ascii="宋体" w:hAnsi="宋体"/>
                <w:szCs w:val="21"/>
              </w:rPr>
            </w:pPr>
          </w:p>
        </w:tc>
      </w:tr>
    </w:tbl>
    <w:p w14:paraId="2600E384">
      <w:pPr>
        <w:ind w:firstLine="420" w:firstLineChars="200"/>
        <w:rPr>
          <w:b/>
          <w:bCs/>
        </w:rPr>
      </w:pPr>
      <w:r>
        <w:rPr>
          <w:rFonts w:hint="eastAsia"/>
          <w:b/>
          <w:bCs/>
        </w:rPr>
        <w:t>(</w:t>
      </w:r>
      <w:r>
        <w:rPr>
          <w:b/>
          <w:bCs/>
        </w:rPr>
        <w:t>5</w:t>
      </w:r>
      <w:r>
        <w:rPr>
          <w:rFonts w:hint="eastAsia"/>
          <w:b/>
          <w:bCs/>
        </w:rPr>
        <w:t>)搭建了优秀课例展示与教研交流平台</w:t>
      </w:r>
    </w:p>
    <w:p w14:paraId="39D0093E">
      <w:pPr>
        <w:ind w:firstLine="420" w:firstLineChars="200"/>
      </w:pPr>
      <w:r>
        <w:rPr>
          <w:rFonts w:hint="eastAsia"/>
        </w:rPr>
        <w:t>通过课题组与南京伯索网络科技有限公司的合作，公司为课题组免费开通云教研服务平台，优秀的课例可以在平台上共享，大家也可以在英飞思想家无限幕布上协同备课、云端教研、实时互动点评。</w:t>
      </w:r>
      <w:r>
        <w:fldChar w:fldCharType="begin"/>
      </w:r>
      <w:r>
        <w:instrText xml:space="preserve"> HYPERLINK "https://www.plaso.cn/" </w:instrText>
      </w:r>
      <w:r>
        <w:fldChar w:fldCharType="separate"/>
      </w:r>
      <w:r>
        <w:rPr>
          <w:rStyle w:val="14"/>
        </w:rPr>
        <w:t>伯索科技_伯索云学堂_专为教育机构_学校打造在线教育平台-网校搭建-直播录播教学系统</w:t>
      </w:r>
      <w:r>
        <w:rPr>
          <w:rStyle w:val="14"/>
        </w:rPr>
        <w:fldChar w:fldCharType="end"/>
      </w:r>
      <w:r>
        <w:rPr>
          <w:rFonts w:hint="eastAsia"/>
        </w:rPr>
        <w:t>；如俞银龙老师的说播课就可以链接收看。</w:t>
      </w:r>
    </w:p>
    <w:p w14:paraId="09F25D63">
      <w:pPr>
        <w:ind w:firstLine="420" w:firstLineChars="200"/>
        <w:rPr>
          <w:b/>
          <w:bCs/>
        </w:rPr>
      </w:pPr>
      <w:r>
        <w:fldChar w:fldCharType="begin"/>
      </w:r>
      <w:r>
        <w:instrText xml:space="preserve"> HYPERLINK "https://rongke.plaso.cn/school/w/tr/" \l "/login?activityGroupId=ea5d898e-eba5-4a12-8bb2-27baee3d1c29" </w:instrText>
      </w:r>
      <w:r>
        <w:fldChar w:fldCharType="separate"/>
      </w:r>
      <w:r>
        <w:rPr>
          <w:rStyle w:val="14"/>
        </w:rPr>
        <w:t>https://rongke.plaso.cn/school/w/tr/#/login?activityGroupId=ea5d898e-eba5-4a12-8bb2-27baee3d1c29</w:t>
      </w:r>
      <w:r>
        <w:rPr>
          <w:rStyle w:val="14"/>
        </w:rPr>
        <w:fldChar w:fldCharType="end"/>
      </w:r>
    </w:p>
    <w:p w14:paraId="4FBF90FC">
      <w:pPr>
        <w:ind w:firstLine="420" w:firstLineChars="200"/>
        <w:rPr>
          <w:b/>
          <w:bCs/>
        </w:rPr>
      </w:pPr>
      <w:r>
        <w:rPr>
          <w:rFonts w:hint="eastAsia"/>
          <w:b/>
          <w:bCs/>
        </w:rPr>
        <w:t>(</w:t>
      </w:r>
      <w:r>
        <w:rPr>
          <w:rFonts w:hint="eastAsia"/>
          <w:b/>
          <w:bCs/>
          <w:lang w:val="en-US" w:eastAsia="zh-CN"/>
        </w:rPr>
        <w:t>6</w:t>
      </w:r>
      <w:r>
        <w:rPr>
          <w:rFonts w:hint="eastAsia"/>
          <w:b/>
          <w:bCs/>
        </w:rPr>
        <w:t>)搭建平台托举教师专业化发展有成效</w:t>
      </w:r>
    </w:p>
    <w:p w14:paraId="1DDBBC68">
      <w:pPr>
        <w:ind w:firstLine="420" w:firstLineChars="200"/>
        <w:rPr>
          <w:rFonts w:hint="eastAsia"/>
          <w:bCs/>
          <w:szCs w:val="21"/>
        </w:rPr>
      </w:pPr>
      <w:r>
        <w:rPr>
          <w:rFonts w:hint="eastAsia"/>
          <w:bCs/>
          <w:szCs w:val="21"/>
        </w:rPr>
        <w:t>在参与课题研究的基础上，教师团队取得了一些成果，也获得了一些荣誉，成长了一批教师，有的老师取得了省市区评优课基本功大赛的一、二等奖，有些老师五级梯队得到了晋级，有些老师在职称评审中得到了晋级，教师的专业化成长得到了明显的进步。</w:t>
      </w:r>
    </w:p>
    <w:tbl>
      <w:tblPr>
        <w:tblStyle w:val="11"/>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863"/>
        <w:gridCol w:w="3423"/>
        <w:gridCol w:w="2808"/>
        <w:gridCol w:w="1036"/>
      </w:tblGrid>
      <w:tr w14:paraId="08587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72C1D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姓名</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6B6F6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所获荣誉</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51712CF">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颁发部门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8D3C51">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获得时间</w:t>
            </w:r>
          </w:p>
        </w:tc>
      </w:tr>
      <w:tr w14:paraId="6F4EE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010C983">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E8BB40E">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常州市中小学学科带头人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27C851D">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常州市教育局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BBE0C3E">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2022.12</w:t>
            </w:r>
          </w:p>
        </w:tc>
      </w:tr>
      <w:tr w14:paraId="54CD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76C1B06">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79F6B3">
            <w:pPr>
              <w:pStyle w:val="9"/>
              <w:keepNext w:val="0"/>
              <w:keepLines w:val="0"/>
              <w:widowControl/>
              <w:suppressLineNumbers w:val="0"/>
              <w:spacing w:before="0" w:beforeAutospacing="0" w:after="0" w:afterAutospacing="0"/>
              <w:ind w:left="0" w:right="0"/>
              <w:jc w:val="both"/>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江苏省学会工作先进个人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1E8A23B">
            <w:pPr>
              <w:pStyle w:val="9"/>
              <w:keepNext w:val="0"/>
              <w:keepLines w:val="0"/>
              <w:widowControl/>
              <w:suppressLineNumbers w:val="0"/>
              <w:spacing w:before="0" w:beforeAutospacing="0" w:after="0" w:afterAutospacing="0"/>
              <w:ind w:left="0" w:right="0"/>
              <w:jc w:val="left"/>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江苏省教育学会化学教学专业委员会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A980B1">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rPr>
            </w:pPr>
            <w:r>
              <w:rPr>
                <w:rFonts w:hint="eastAsia" w:ascii="仿宋" w:hAnsi="仿宋" w:eastAsia="仿宋" w:cs="仿宋"/>
                <w:b w:val="0"/>
                <w:bCs w:val="0"/>
                <w:i w:val="0"/>
                <w:iCs w:val="0"/>
                <w:color w:val="000000"/>
                <w:spacing w:val="0"/>
                <w:w w:val="100"/>
                <w:sz w:val="21"/>
                <w:szCs w:val="21"/>
                <w:vertAlign w:val="baseline"/>
              </w:rPr>
              <w:t>2023.12</w:t>
            </w:r>
          </w:p>
        </w:tc>
      </w:tr>
      <w:tr w14:paraId="71855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F377002">
            <w:pPr>
              <w:pStyle w:val="9"/>
              <w:keepNext w:val="0"/>
              <w:keepLines w:val="0"/>
              <w:widowControl/>
              <w:suppressLineNumbers w:val="0"/>
              <w:spacing w:before="0" w:beforeAutospacing="0" w:after="0" w:afterAutospacing="0"/>
              <w:ind w:left="0" w:right="0"/>
              <w:jc w:val="center"/>
              <w:rPr>
                <w:rFonts w:hint="eastAsia" w:ascii="仿宋" w:hAnsi="仿宋" w:eastAsia="仿宋" w:cs="仿宋"/>
                <w:b w:val="0"/>
                <w:bCs w:val="0"/>
                <w:i w:val="0"/>
                <w:iCs w:val="0"/>
                <w:color w:val="000000"/>
                <w:spacing w:val="0"/>
                <w:w w:val="100"/>
                <w:sz w:val="21"/>
                <w:szCs w:val="21"/>
                <w:vertAlign w:val="baseline"/>
                <w:lang w:val="en-US" w:eastAsia="zh-CN"/>
              </w:rPr>
            </w:pPr>
            <w:r>
              <w:rPr>
                <w:rFonts w:hint="eastAsia" w:ascii="仿宋" w:hAnsi="仿宋" w:eastAsia="仿宋" w:cs="仿宋"/>
                <w:b w:val="0"/>
                <w:bCs w:val="0"/>
                <w:i w:val="0"/>
                <w:iCs w:val="0"/>
                <w:color w:val="000000"/>
                <w:spacing w:val="0"/>
                <w:w w:val="100"/>
                <w:sz w:val="21"/>
                <w:szCs w:val="21"/>
                <w:vertAlign w:val="baseline"/>
                <w:lang w:val="en-US" w:eastAsia="zh-CN"/>
              </w:rPr>
              <w:t>艾璐</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2EFDD9">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lang w:val="en-US" w:eastAsia="zh-CN"/>
              </w:rPr>
              <w:t>江苏省学会工作先进个人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17EB705">
            <w:pPr>
              <w:pStyle w:val="9"/>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江苏省教育学会化学教学专业委员会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12DB99">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 w:val="0"/>
                <w:bCs w:val="0"/>
                <w:i w:val="0"/>
                <w:iCs w:val="0"/>
                <w:color w:val="000000"/>
                <w:spacing w:val="0"/>
                <w:w w:val="100"/>
                <w:kern w:val="2"/>
                <w:sz w:val="21"/>
                <w:szCs w:val="21"/>
                <w:vertAlign w:val="baseline"/>
                <w:lang w:val="en-US" w:eastAsia="zh-CN" w:bidi="ar-SA"/>
              </w:rPr>
            </w:pPr>
            <w:r>
              <w:rPr>
                <w:rFonts w:hint="eastAsia" w:ascii="仿宋" w:hAnsi="仿宋" w:eastAsia="仿宋" w:cs="仿宋"/>
                <w:b w:val="0"/>
                <w:bCs w:val="0"/>
                <w:i w:val="0"/>
                <w:iCs w:val="0"/>
                <w:color w:val="000000"/>
                <w:spacing w:val="0"/>
                <w:w w:val="100"/>
                <w:sz w:val="21"/>
                <w:szCs w:val="21"/>
                <w:vertAlign w:val="baseline"/>
              </w:rPr>
              <w:t>202</w:t>
            </w:r>
            <w:r>
              <w:rPr>
                <w:rFonts w:hint="eastAsia" w:ascii="仿宋" w:hAnsi="仿宋" w:eastAsia="仿宋" w:cs="仿宋"/>
                <w:b w:val="0"/>
                <w:bCs w:val="0"/>
                <w:i w:val="0"/>
                <w:iCs w:val="0"/>
                <w:color w:val="000000"/>
                <w:spacing w:val="0"/>
                <w:w w:val="100"/>
                <w:sz w:val="21"/>
                <w:szCs w:val="21"/>
                <w:vertAlign w:val="baseline"/>
                <w:lang w:val="en-US" w:eastAsia="zh-CN"/>
              </w:rPr>
              <w:t>2</w:t>
            </w:r>
            <w:r>
              <w:rPr>
                <w:rFonts w:hint="eastAsia" w:ascii="仿宋" w:hAnsi="仿宋" w:eastAsia="仿宋" w:cs="仿宋"/>
                <w:b w:val="0"/>
                <w:bCs w:val="0"/>
                <w:i w:val="0"/>
                <w:iCs w:val="0"/>
                <w:color w:val="000000"/>
                <w:spacing w:val="0"/>
                <w:w w:val="100"/>
                <w:sz w:val="21"/>
                <w:szCs w:val="21"/>
                <w:vertAlign w:val="baseline"/>
              </w:rPr>
              <w:t>.12</w:t>
            </w:r>
          </w:p>
        </w:tc>
      </w:tr>
      <w:tr w14:paraId="0A63C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5"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32506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俞银龙</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AD59E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27A173">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4443B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2022.09</w:t>
            </w:r>
          </w:p>
        </w:tc>
      </w:tr>
      <w:tr w14:paraId="77D9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E1AD9C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俞银龙</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4793554">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lang w:val="en-US" w:eastAsia="zh-CN"/>
              </w:rPr>
              <w:t>区</w:t>
            </w:r>
            <w:r>
              <w:rPr>
                <w:rFonts w:hint="eastAsia" w:ascii="仿宋" w:hAnsi="仿宋" w:eastAsia="仿宋" w:cs="仿宋"/>
                <w:b w:val="0"/>
                <w:bCs w:val="0"/>
                <w:i w:val="0"/>
                <w:iCs w:val="0"/>
                <w:color w:val="000000"/>
                <w:spacing w:val="0"/>
                <w:w w:val="100"/>
                <w:sz w:val="21"/>
                <w:szCs w:val="21"/>
                <w:vertAlign w:val="baseline"/>
              </w:rPr>
              <w:t>学科带头人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6FBF44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常州经开区社会事业局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0CAF6DC">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2023.06</w:t>
            </w:r>
          </w:p>
        </w:tc>
      </w:tr>
      <w:tr w14:paraId="7CAC2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87FF8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72D793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68B6A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F4D8C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2023.07</w:t>
            </w:r>
          </w:p>
        </w:tc>
      </w:tr>
      <w:tr w14:paraId="70E41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3E5FF37">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EDAA27">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lang w:val="en-US" w:eastAsia="zh-CN"/>
              </w:rPr>
              <w:t>区</w:t>
            </w:r>
            <w:r>
              <w:rPr>
                <w:rFonts w:hint="eastAsia" w:ascii="仿宋" w:hAnsi="仿宋" w:eastAsia="仿宋" w:cs="仿宋"/>
                <w:b w:val="0"/>
                <w:bCs w:val="0"/>
                <w:i w:val="0"/>
                <w:iCs w:val="0"/>
                <w:color w:val="000000"/>
                <w:spacing w:val="0"/>
                <w:w w:val="100"/>
                <w:sz w:val="21"/>
                <w:szCs w:val="21"/>
                <w:vertAlign w:val="baseline"/>
              </w:rPr>
              <w:t>学科带头人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3A9298D">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常州经开区社会事业局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E686A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2023.06</w:t>
            </w:r>
          </w:p>
        </w:tc>
      </w:tr>
      <w:tr w14:paraId="763F5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BF3717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凌娟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919E5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江苏省学会工作先进个人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6B5589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江苏省教育学会化学教学专业委员会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1AE12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2023.12</w:t>
            </w:r>
          </w:p>
        </w:tc>
      </w:tr>
      <w:tr w14:paraId="3E0A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265E31B">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马云</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7B399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常州市教坛新秀</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7A7D0C">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3C08A1">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2023.12</w:t>
            </w:r>
          </w:p>
        </w:tc>
      </w:tr>
      <w:tr w14:paraId="11B2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3BA3B7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马云</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927C57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区教学能手</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BB2CE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江苏常州经济开发区教育和文体旅局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5B5C2B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2024.07</w:t>
            </w:r>
          </w:p>
        </w:tc>
      </w:tr>
      <w:tr w14:paraId="32C4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7B9B04B">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马云</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E51173C">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经开区初中化学基本功比赛一等奖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D50DA47">
            <w:pPr>
              <w:pStyle w:val="9"/>
              <w:keepNext w:val="0"/>
              <w:keepLines w:val="0"/>
              <w:widowControl/>
              <w:suppressLineNumbers w:val="0"/>
              <w:spacing w:before="0" w:beforeAutospacing="0" w:after="0" w:afterAutospacing="0"/>
              <w:ind w:left="0" w:leftChars="0" w:right="0" w:rightChars="0"/>
              <w:jc w:val="both"/>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常州经开区教师发展中心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868CF15">
            <w:pPr>
              <w:pStyle w:val="9"/>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kern w:val="2"/>
                <w:sz w:val="21"/>
                <w:szCs w:val="21"/>
                <w:lang w:val="en-US" w:eastAsia="zh-CN" w:bidi="ar-SA"/>
              </w:rPr>
            </w:pPr>
            <w:r>
              <w:rPr>
                <w:rFonts w:hint="eastAsia" w:ascii="仿宋" w:hAnsi="仿宋" w:eastAsia="仿宋" w:cs="仿宋"/>
                <w:b w:val="0"/>
                <w:bCs w:val="0"/>
                <w:i w:val="0"/>
                <w:iCs w:val="0"/>
                <w:color w:val="000000"/>
                <w:spacing w:val="0"/>
                <w:w w:val="100"/>
                <w:sz w:val="21"/>
                <w:szCs w:val="21"/>
                <w:vertAlign w:val="baseline"/>
              </w:rPr>
              <w:t>2024.12</w:t>
            </w:r>
          </w:p>
        </w:tc>
      </w:tr>
      <w:tr w14:paraId="02E3F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A07E84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牛改艳</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65203B9">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263C10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常州市天宁区人民政府</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E773B7">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6</w:t>
            </w:r>
          </w:p>
        </w:tc>
      </w:tr>
      <w:tr w14:paraId="6363E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7F0D8BE">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周贤</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262DC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B60DEC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DB40393">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2024.04</w:t>
            </w:r>
          </w:p>
        </w:tc>
      </w:tr>
      <w:tr w14:paraId="01A22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295747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31EBF1">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经开区初中化学基本功竞赛区一等奖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2DADB79">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常州经开区教师发展中心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EF556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2022.05</w:t>
            </w:r>
          </w:p>
        </w:tc>
      </w:tr>
      <w:tr w14:paraId="69CAC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13BE585">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61FE37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2022年常州市中小学班主任基本功竞赛一等奖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4813F2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常州市教育局</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3E45EE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2022.05</w:t>
            </w:r>
          </w:p>
        </w:tc>
      </w:tr>
      <w:tr w14:paraId="1540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E3EAE1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D756B2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2022年常州市区初中化学优秀课评比一等奖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E7D4F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D3809D0">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2022.10</w:t>
            </w:r>
          </w:p>
        </w:tc>
      </w:tr>
      <w:tr w14:paraId="49050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2A1114B">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D5E5E57">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E878D87">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4C8E7D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2023.07</w:t>
            </w:r>
          </w:p>
        </w:tc>
      </w:tr>
      <w:tr w14:paraId="398B3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A729942">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薛冰</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43BF8E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2024年常州市初中劳动教师教学基本功比赛一等奖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8F279C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9E2202F">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2024.06</w:t>
            </w:r>
          </w:p>
        </w:tc>
      </w:tr>
      <w:tr w14:paraId="7D3D4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809830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02314B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2022年常州市初中化学教师“三题”能力比赛一等奖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3B3E194">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D3D61E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9</w:t>
            </w:r>
          </w:p>
        </w:tc>
      </w:tr>
      <w:tr w14:paraId="06DE1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DD9036">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AA68E4D">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2022年常州市区初中化学优秀课评比一等奖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40DBF4">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A54F85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2022.10</w:t>
            </w:r>
          </w:p>
        </w:tc>
      </w:tr>
      <w:tr w14:paraId="36560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B6174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39C8B0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2023年常州市初中化学优秀课评比一等奖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6B7E4DC">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857693">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3</w:t>
            </w:r>
          </w:p>
        </w:tc>
      </w:tr>
      <w:tr w14:paraId="1BD4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7C351D2">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1A7B1C">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2023年江苏省初中化学优质课评比一等奖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9A43D2D">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江苏省教研室</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2AC05C5">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2023.10</w:t>
            </w:r>
          </w:p>
        </w:tc>
      </w:tr>
      <w:tr w14:paraId="2865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01EB49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周晶</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AD072F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区骨干教师</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21AB3E9">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常州市天宁区教师发展中心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5377E7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3</w:t>
            </w:r>
          </w:p>
        </w:tc>
      </w:tr>
      <w:tr w14:paraId="586F4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8907C94">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华叶艳</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DB67BA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2022年常州市初中化学教师“三题”能力比赛二等奖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20180B4">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A97C27E">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w:t>
            </w:r>
            <w:r>
              <w:rPr>
                <w:rFonts w:hint="eastAsia" w:ascii="仿宋" w:hAnsi="仿宋" w:eastAsia="仿宋" w:cs="仿宋"/>
                <w:b w:val="0"/>
                <w:bCs w:val="0"/>
                <w:i w:val="0"/>
                <w:iCs w:val="0"/>
                <w:color w:val="000000"/>
                <w:spacing w:val="0"/>
                <w:w w:val="100"/>
                <w:sz w:val="21"/>
                <w:szCs w:val="21"/>
                <w:vertAlign w:val="baseline"/>
                <w:lang w:val="en-US" w:eastAsia="zh-CN"/>
              </w:rPr>
              <w:t>0</w:t>
            </w:r>
            <w:r>
              <w:rPr>
                <w:rFonts w:hint="eastAsia" w:ascii="仿宋" w:hAnsi="仿宋" w:eastAsia="仿宋" w:cs="仿宋"/>
                <w:b w:val="0"/>
                <w:bCs w:val="0"/>
                <w:i w:val="0"/>
                <w:iCs w:val="0"/>
                <w:color w:val="000000"/>
                <w:spacing w:val="0"/>
                <w:w w:val="100"/>
                <w:sz w:val="21"/>
                <w:szCs w:val="21"/>
                <w:vertAlign w:val="baseline"/>
              </w:rPr>
              <w:t>9</w:t>
            </w:r>
          </w:p>
        </w:tc>
      </w:tr>
      <w:tr w14:paraId="0C99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75E684C">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华叶艳</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5DEDC7D">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2023年常州市区初中化学基本功二等奖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D913C4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常州市教育科学研究院</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C5414D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2023.12</w:t>
            </w:r>
          </w:p>
        </w:tc>
      </w:tr>
      <w:tr w14:paraId="1937C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267991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F67EB1C">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江苏省学会工作先进个人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32A06F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江苏省教育学会化学教学专业委员会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26EB0E5">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2024.12</w:t>
            </w:r>
          </w:p>
        </w:tc>
      </w:tr>
      <w:tr w14:paraId="0254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CA2934C">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2EC54DF">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江苏省学会工作先进个人</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0BB386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江苏省教育学会化学教学专业委员会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FE3B06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2021.12</w:t>
            </w:r>
          </w:p>
        </w:tc>
      </w:tr>
      <w:tr w14:paraId="058E3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5AF7FDE">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113E96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2024年江苏省基础教育青年教师基本功比赛初中化学评委</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EEE5C6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江苏省基础教育青年教师基本功比赛组委会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8E26413">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2024.09</w:t>
            </w:r>
          </w:p>
        </w:tc>
      </w:tr>
      <w:tr w14:paraId="20CEE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CD68931">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69C461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2024年江苏省高中化学评优课评委</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A719820">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江苏省中小学教研室</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095033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2024.10</w:t>
            </w:r>
          </w:p>
        </w:tc>
      </w:tr>
      <w:tr w14:paraId="1BE1B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F18E15A">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734F7A2">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2023年江苏省初中化学评优课评委</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89F667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江苏省中小学教研室</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F7B92C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2023.10</w:t>
            </w:r>
          </w:p>
        </w:tc>
      </w:tr>
      <w:tr w14:paraId="02F68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21F29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43F04D4">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2022年江苏省高中化学评优课评委</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708E4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江苏省中小学教研室</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C94BED0">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2022.11</w:t>
            </w:r>
          </w:p>
        </w:tc>
      </w:tr>
      <w:tr w14:paraId="00EA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DC0FB08">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BE47E2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常州市新北区初中化学卓越教师成长营导师</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4A515A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常州市新北区教师发展中心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0CF6AB6">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2023.10</w:t>
            </w:r>
          </w:p>
        </w:tc>
      </w:tr>
      <w:tr w14:paraId="1CD59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BAEE2E">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71E0A95">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常州市新北区初中化学乡村骨干教师培育站导师</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3859D83">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常州市新北区教师发展中心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8983FE6">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2022.08</w:t>
            </w:r>
          </w:p>
        </w:tc>
      </w:tr>
      <w:tr w14:paraId="11B41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36CC2A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38D221A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江苏省乡村骨干教师培育站优秀导师</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0E8800F">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常州市新北区教师发展中心</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2741A8B">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2022.02</w:t>
            </w:r>
          </w:p>
        </w:tc>
      </w:tr>
      <w:tr w14:paraId="72BD4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C591DC5">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9BC21EB">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2023年度常州经开区“师德模范”</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E3A33F9">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江苏常州经济开发区社会事业局工会联合会</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7DABE53">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2023.09</w:t>
            </w:r>
          </w:p>
        </w:tc>
      </w:tr>
      <w:tr w14:paraId="591E3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928B1A0">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02340D8">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7DE60C1">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ED7DBD">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2024.09</w:t>
            </w:r>
          </w:p>
        </w:tc>
      </w:tr>
      <w:tr w14:paraId="1C7BB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238B593F">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598CC047">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嘉奖</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E41BE6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江苏常州经开区组织部</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4B21FA21">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2022.09</w:t>
            </w:r>
          </w:p>
        </w:tc>
      </w:tr>
      <w:tr w14:paraId="0AD79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jc w:val="center"/>
        </w:trPr>
        <w:tc>
          <w:tcPr>
            <w:tcW w:w="86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71C998DC">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董新伟</w:t>
            </w:r>
          </w:p>
        </w:tc>
        <w:tc>
          <w:tcPr>
            <w:tcW w:w="3423"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62466FBE">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省优秀青少年科技辅导员</w:t>
            </w:r>
          </w:p>
        </w:tc>
        <w:tc>
          <w:tcPr>
            <w:tcW w:w="2808"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1BCF5556">
            <w:pPr>
              <w:pStyle w:val="9"/>
              <w:keepNext w:val="0"/>
              <w:keepLines w:val="0"/>
              <w:widowControl/>
              <w:suppressLineNumbers w:val="0"/>
              <w:spacing w:before="0" w:beforeAutospacing="0" w:after="0" w:afterAutospacing="0"/>
              <w:ind w:left="0" w:right="0"/>
              <w:jc w:val="both"/>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江苏省教育厅江苏省科技厅江苏省科协江苏省文明办</w:t>
            </w:r>
          </w:p>
        </w:tc>
        <w:tc>
          <w:tcPr>
            <w:tcW w:w="1036" w:type="dxa"/>
            <w:tcBorders>
              <w:top w:val="single" w:color="auto" w:sz="2" w:space="0"/>
              <w:left w:val="single" w:color="auto" w:sz="2" w:space="0"/>
              <w:bottom w:val="single" w:color="auto" w:sz="2" w:space="0"/>
              <w:right w:val="single" w:color="auto" w:sz="2" w:space="0"/>
            </w:tcBorders>
            <w:noWrap w:val="0"/>
            <w:tcMar>
              <w:top w:w="8" w:type="dxa"/>
              <w:left w:w="8" w:type="dxa"/>
              <w:bottom w:w="8" w:type="dxa"/>
              <w:right w:w="8" w:type="dxa"/>
            </w:tcMar>
            <w:vAlign w:val="center"/>
          </w:tcPr>
          <w:p w14:paraId="052AE879">
            <w:pPr>
              <w:pStyle w:val="9"/>
              <w:keepNext w:val="0"/>
              <w:keepLines w:val="0"/>
              <w:widowControl/>
              <w:suppressLineNumbers w:val="0"/>
              <w:spacing w:before="0" w:beforeAutospacing="0" w:after="0" w:afterAutospacing="0"/>
              <w:ind w:left="0" w:right="0"/>
              <w:jc w:val="center"/>
              <w:rPr>
                <w:rFonts w:hint="eastAsia" w:ascii="仿宋" w:hAnsi="仿宋" w:eastAsia="仿宋" w:cs="仿宋"/>
                <w:sz w:val="21"/>
                <w:szCs w:val="21"/>
              </w:rPr>
            </w:pPr>
            <w:r>
              <w:rPr>
                <w:rFonts w:hint="eastAsia" w:ascii="仿宋" w:hAnsi="仿宋" w:eastAsia="仿宋" w:cs="仿宋"/>
                <w:b w:val="0"/>
                <w:bCs w:val="0"/>
                <w:i w:val="0"/>
                <w:iCs w:val="0"/>
                <w:color w:val="000000"/>
                <w:spacing w:val="0"/>
                <w:w w:val="100"/>
                <w:sz w:val="21"/>
                <w:szCs w:val="21"/>
                <w:vertAlign w:val="baseline"/>
              </w:rPr>
              <w:t>2022.04</w:t>
            </w:r>
          </w:p>
        </w:tc>
      </w:tr>
    </w:tbl>
    <w:p w14:paraId="37A2D3E1">
      <w:pPr>
        <w:ind w:firstLine="420" w:firstLineChars="200"/>
        <w:rPr>
          <w:b/>
          <w:bCs/>
        </w:rPr>
      </w:pPr>
      <w:r>
        <w:rPr>
          <w:rFonts w:hint="eastAsia"/>
          <w:b/>
          <w:bCs/>
        </w:rPr>
        <w:t xml:space="preserve"> (三)学生的发展</w:t>
      </w:r>
    </w:p>
    <w:p w14:paraId="64FC005E">
      <w:pPr>
        <w:ind w:firstLine="420" w:firstLineChars="200"/>
      </w:pPr>
      <w:r>
        <w:rPr>
          <w:rFonts w:hint="eastAsia"/>
        </w:rPr>
        <w:t>在</w:t>
      </w:r>
      <w:r>
        <w:rPr>
          <w:rFonts w:hint="eastAsia"/>
          <w:bCs/>
          <w:szCs w:val="21"/>
        </w:rPr>
        <w:t>学科核心素养导向下的初中化学单元教学实践</w:t>
      </w:r>
      <w:r>
        <w:rPr>
          <w:rFonts w:hint="eastAsia"/>
        </w:rPr>
        <w:t>研究中，学生的多方面能力得到了显著提升，课题组通过课堂问答、实验操作、任务拆解、问题解决、个案追踪、展示活动、社会实践等多元评价途径发现学生的化学学科核心素养得到了发展，具体表现在以下几个方面：</w:t>
      </w:r>
    </w:p>
    <w:p w14:paraId="2C38A864">
      <w:pPr>
        <w:ind w:firstLine="420" w:firstLineChars="200"/>
      </w:pPr>
      <w:r>
        <w:rPr>
          <w:rFonts w:hint="eastAsia"/>
          <w:b/>
          <w:bCs/>
        </w:rPr>
        <w:t>1.学生的化学观念意识增强：</w:t>
      </w:r>
      <w:r>
        <w:rPr>
          <w:rFonts w:hint="eastAsia"/>
        </w:rPr>
        <w:t>通过单元教学实践，学生不再仅仅局限于对化学知识的零散记忆，而是开始形成系统的化学观念。他们能够理解化学现象的本质，认识到物质是变化的、物质具有多样性、化学反应遵循一定的规律等。这种化学观念的形成，使得学生能够更加深入地理解和应用化学知识，为后续的化学学习打下坚实的基础。</w:t>
      </w:r>
    </w:p>
    <w:p w14:paraId="283B297A">
      <w:pPr>
        <w:ind w:firstLine="420" w:firstLineChars="200"/>
      </w:pPr>
      <w:r>
        <w:rPr>
          <w:rFonts w:hint="eastAsia"/>
          <w:b/>
          <w:bCs/>
        </w:rPr>
        <w:t>2.学生的实验探究能力与实践能力增强：</w:t>
      </w:r>
      <w:r>
        <w:rPr>
          <w:rFonts w:hint="eastAsia"/>
        </w:rPr>
        <w:t>核心素养导向下的化学教学注重实验探究，鼓励学生通过实验来发现和验证化学原理。在单元教学实践中，学生有更多的机会参与实验操作，从设计实验方案、准备实验材料、进行实验操作到分析实验结果，全程参与。这不仅提高了学生的实验技能，更重要的是培养了他们的实验探究能力，使他们能够独立思考、解决问题，并学会从实验中获取知识和信息。</w:t>
      </w:r>
    </w:p>
    <w:p w14:paraId="52D34AFB">
      <w:pPr>
        <w:ind w:firstLine="420" w:firstLineChars="200"/>
      </w:pPr>
      <w:r>
        <w:rPr>
          <w:rFonts w:hint="eastAsia"/>
          <w:b/>
          <w:bCs/>
        </w:rPr>
        <w:t>3.学生的科学思维能力提升：</w:t>
      </w:r>
      <w:r>
        <w:rPr>
          <w:rFonts w:hint="eastAsia"/>
        </w:rPr>
        <w:t>化学学习不仅仅是记忆和背诵，更重要的是培养学生的科学思维能力。在单元教学实践中，教师通过引导学生分析问题、提出假设、设计实验、验证假设等过程，锻炼了学生的逻辑推理能力、批判性思维和创新能力。学生学会了如何运用化学知识去解释和解决实际问题，这种科学思维能力的提升对他们未来的学习和生活都具有重要意义。</w:t>
      </w:r>
    </w:p>
    <w:p w14:paraId="458A2EDA">
      <w:pPr>
        <w:ind w:firstLine="420" w:firstLineChars="200"/>
      </w:pPr>
      <w:r>
        <w:rPr>
          <w:rFonts w:hint="eastAsia"/>
          <w:b/>
          <w:bCs/>
        </w:rPr>
        <w:t>4.学生的科学态度与责任意识增强：</w:t>
      </w:r>
      <w:r>
        <w:rPr>
          <w:rFonts w:hint="eastAsia"/>
        </w:rPr>
        <w:t>化学是一门与日常生活密切相关的科学，通过学习化学，学生可以更加深入地了解自然和社会现象。在单元教学实践中，教师注重培养学生的科学态度和责任意识，引导他们关注化学与环境的关系，理解化学在社会发展中的作用和责任。学生开始意识到化学知识的应用需要遵循科学伦理和道德规范，这种科学态度与责任意识的增强有助于他们成为具有社会责任感和科学素养的公民。</w:t>
      </w:r>
    </w:p>
    <w:p w14:paraId="54F6D122">
      <w:pPr>
        <w:ind w:firstLine="420" w:firstLineChars="200"/>
      </w:pPr>
      <w:r>
        <w:rPr>
          <w:rFonts w:hint="eastAsia"/>
        </w:rPr>
        <w:t>学科核心素养导向下的初中化学单元教学实践对学生的全面发展具有显著促进作用，不仅提高了学生的化学知识和技能水平，还培养了他们的科学思维、实验探究能力和科学态度与责任意识。</w:t>
      </w:r>
    </w:p>
    <w:p w14:paraId="4846AE3D">
      <w:pPr>
        <w:ind w:firstLine="420" w:firstLineChars="200"/>
        <w:rPr>
          <w:b/>
          <w:bCs/>
        </w:rPr>
      </w:pPr>
      <w:r>
        <w:rPr>
          <w:rFonts w:hint="eastAsia"/>
          <w:b/>
          <w:bCs/>
        </w:rPr>
        <w:t>（四）教师的发展</w:t>
      </w:r>
    </w:p>
    <w:p w14:paraId="58A403E3">
      <w:pPr>
        <w:ind w:firstLine="420" w:firstLineChars="200"/>
      </w:pPr>
      <w:r>
        <w:rPr>
          <w:rFonts w:hint="eastAsia"/>
        </w:rPr>
        <w:t>在学科核心素养导向下的初中化学单元教学实践研究中，确实观察到了学生多方面能力的显著提升，同时这一教学模式也对教师产生了深远的影响，促使教师在理念与行为上发生了积极的变化，主要表现为</w:t>
      </w:r>
      <w:r>
        <w:rPr>
          <w:rFonts w:hint="eastAsia"/>
          <w:b/>
          <w:bCs/>
        </w:rPr>
        <w:t>：</w:t>
      </w:r>
      <w:r>
        <w:t xml:space="preserve"> </w:t>
      </w:r>
    </w:p>
    <w:p w14:paraId="73E6A281">
      <w:pPr>
        <w:ind w:firstLine="420" w:firstLineChars="200"/>
        <w:rPr>
          <w:b/>
        </w:rPr>
      </w:pPr>
      <w:r>
        <w:rPr>
          <w:b/>
          <w:bCs/>
        </w:rPr>
        <w:t>1.</w:t>
      </w:r>
      <w:r>
        <w:rPr>
          <w:rFonts w:hint="eastAsia"/>
          <w:b/>
          <w:bCs/>
        </w:rPr>
        <w:t>教师转变了对新课程标准等</w:t>
      </w:r>
      <w:r>
        <w:rPr>
          <w:rFonts w:hint="eastAsia"/>
          <w:b/>
        </w:rPr>
        <w:t>理论学习的态度：</w:t>
      </w:r>
      <w:r>
        <w:rPr>
          <w:rFonts w:hint="eastAsia"/>
        </w:rPr>
        <w:t>在核心素养导向的教学实践中，教师逐渐认识到理论学习的重要性。他们不再将新课程标准等理论学习视为负担或形式主义，而是主动深入学习，理解其背后的教育理念和教学目标。这种态度的转变使得教师能够更加准确地把握教学方向，将核心素养的培养融入到日常教学中，从而提高教学的针对性和有效性。</w:t>
      </w:r>
    </w:p>
    <w:p w14:paraId="05A0A006">
      <w:pPr>
        <w:ind w:firstLine="420" w:firstLineChars="200"/>
        <w:rPr>
          <w:b/>
        </w:rPr>
      </w:pPr>
      <w:r>
        <w:rPr>
          <w:rFonts w:hint="eastAsia"/>
          <w:b/>
        </w:rPr>
        <w:t>2</w:t>
      </w:r>
      <w:r>
        <w:rPr>
          <w:b/>
        </w:rPr>
        <w:t>.</w:t>
      </w:r>
      <w:r>
        <w:rPr>
          <w:rFonts w:hint="eastAsia"/>
          <w:b/>
        </w:rPr>
        <w:t>教师注重了开展实验探究与实践活动的研究：</w:t>
      </w:r>
      <w:r>
        <w:rPr>
          <w:rFonts w:hint="eastAsia"/>
        </w:rPr>
        <w:t>化学是一门实验科学，实验探究是化学学习的重要组成部分。在核心素养导向的单元教学实践中，教师开始注重实验探究与实践活动的开展。他们不仅设计丰富多样的实验活动，还鼓励学生自主探究、合作交流，通过实践来深化对化学原理的理解。这种教学方式的转变不仅提高了学生的学习兴趣和参与度，还培养了他们的实验技能和科学探究能力。</w:t>
      </w:r>
    </w:p>
    <w:p w14:paraId="54B8AA55">
      <w:pPr>
        <w:ind w:firstLine="420" w:firstLineChars="200"/>
      </w:pPr>
      <w:r>
        <w:rPr>
          <w:b/>
        </w:rPr>
        <w:t>3.</w:t>
      </w:r>
      <w:r>
        <w:rPr>
          <w:rFonts w:hint="eastAsia"/>
          <w:b/>
        </w:rPr>
        <w:t>教师注重了对教学方式教学行为的自我反思:</w:t>
      </w:r>
      <w:r>
        <w:rPr>
          <w:rFonts w:hint="eastAsia"/>
        </w:rPr>
        <w:t xml:space="preserve"> 在核心素养导向的教学实践中，教师开始更加注重对自我教学方式和教学行为的反思。他们不再盲目遵循传统的教学模式，而是根据学生的学习情况和反馈，不断调整和优化自己的教学策略。这种自我反思的习惯使得教师能够更加客观地评价自己的教学效果，及时发现并解决问题，从而提高教学质量。</w:t>
      </w:r>
    </w:p>
    <w:p w14:paraId="4B8D6D26">
      <w:pPr>
        <w:ind w:firstLine="420" w:firstLineChars="200"/>
        <w:rPr>
          <w:b/>
        </w:rPr>
      </w:pPr>
      <w:r>
        <w:rPr>
          <w:rFonts w:hint="eastAsia"/>
          <w:b/>
        </w:rPr>
        <w:t>4</w:t>
      </w:r>
      <w:r>
        <w:rPr>
          <w:b/>
        </w:rPr>
        <w:t>.</w:t>
      </w:r>
      <w:r>
        <w:rPr>
          <w:rFonts w:hint="eastAsia"/>
          <w:b/>
        </w:rPr>
        <w:t>教师加强了相互合作融入了教学共同体发展:</w:t>
      </w:r>
      <w:r>
        <w:rPr>
          <w:rFonts w:hint="eastAsia"/>
        </w:rPr>
        <w:t xml:space="preserve"> 在核心素养导向的单元教学实践中，教师之间的合作变得尤为重要。他们不再孤军奋战，而是积极与其他教师交流分享教学经验、教学资源和教学成果。这种合作不仅促进了教师之间的相互学习和共同成长，还构建了一个积极向上的教学共同体。在这个共同体中，教师们可以相互支持、相互激励，共同推动化学教育的改革和发展。</w:t>
      </w:r>
    </w:p>
    <w:p w14:paraId="58EBB678">
      <w:pPr>
        <w:ind w:firstLine="420" w:firstLineChars="200"/>
      </w:pPr>
      <w:r>
        <w:rPr>
          <w:rFonts w:hint="eastAsia"/>
        </w:rPr>
        <w:t>学科核心素养导向下的初中化学单元教学实践研究不仅对学生的全面发展具有显著促进作用，同时也对教师的专业成长产生了积极的影响。这种教学模式的转变使得教师更加注重理论学习、实验探究、自我反思和合作交流，从而不断提升自己的专业素养和教学能力。</w:t>
      </w:r>
    </w:p>
    <w:p w14:paraId="772C9AE0">
      <w:pPr>
        <w:ind w:firstLine="420" w:firstLineChars="200"/>
        <w:rPr>
          <w:b/>
          <w:bCs/>
        </w:rPr>
      </w:pPr>
      <w:r>
        <w:rPr>
          <w:rFonts w:hint="eastAsia"/>
          <w:b/>
          <w:bCs/>
        </w:rPr>
        <w:t>四、问题与展望</w:t>
      </w:r>
    </w:p>
    <w:p w14:paraId="62898DF6">
      <w:pPr>
        <w:ind w:firstLine="420" w:firstLineChars="200"/>
      </w:pPr>
      <w:r>
        <w:rPr>
          <w:rFonts w:hint="eastAsia" w:ascii="MS Gothic" w:hAnsi="MS Gothic" w:eastAsia="MS Gothic" w:cs="MS Gothic"/>
        </w:rPr>
        <w:t>‌</w:t>
      </w:r>
      <w:r>
        <w:rPr>
          <w:rFonts w:hint="eastAsia"/>
        </w:rPr>
        <w:t>通过学科核心素养导向下的初中化学单元教学实践研究的课题研究，我们确实已经取得了一定的研究成果，但仍存在研究深度和广度上的不足，需要进一步深入探讨。</w:t>
      </w:r>
      <w:r>
        <w:rPr>
          <w:rFonts w:hint="eastAsia" w:ascii="MS Gothic" w:hAnsi="MS Gothic" w:eastAsia="MS Gothic" w:cs="MS Gothic"/>
        </w:rPr>
        <w:t>‌</w:t>
      </w:r>
    </w:p>
    <w:p w14:paraId="625FA96B">
      <w:pPr>
        <w:ind w:firstLine="420" w:firstLineChars="200"/>
      </w:pPr>
      <w:r>
        <w:rPr>
          <w:rFonts w:hint="eastAsia"/>
          <w:b/>
        </w:rPr>
        <w:t>1</w:t>
      </w:r>
      <w:r>
        <w:rPr>
          <w:b/>
        </w:rPr>
        <w:t>.</w:t>
      </w:r>
      <w:r>
        <w:rPr>
          <w:rFonts w:hint="eastAsia"/>
          <w:b/>
        </w:rPr>
        <w:t>在研究深度方面</w:t>
      </w:r>
      <w:r>
        <w:rPr>
          <w:rFonts w:hint="eastAsia"/>
        </w:rPr>
        <w:t>，虽然我们已经初步探索了基于学科核心素养的初中化学单元整体教学设计，并对其进行了实践应用，但对于如何更有效地将核心素养融入到化学教学的各个环节中，如何更精准地评估学生在核心素养方面的提升，以及如何针对不同学生的特点进行差异化教学等方面，仍需进一步深入研究。例如，我们可以进一步细化核心素养在化学教学中的具体表现，如科学思维、实验探究能力、科学态度与责任等，并探索如何通过具体的教学活动来培养这些素养</w:t>
      </w:r>
      <w:r>
        <w:rPr>
          <w:rFonts w:hint="eastAsia"/>
          <w:lang w:eastAsia="zh-CN"/>
        </w:rPr>
        <w:t>。</w:t>
      </w:r>
      <w:r>
        <w:rPr>
          <w:rFonts w:hint="eastAsia" w:ascii="MS Gothic" w:hAnsi="MS Gothic" w:eastAsia="MS Gothic" w:cs="MS Gothic"/>
        </w:rPr>
        <w:t>‌</w:t>
      </w:r>
    </w:p>
    <w:p w14:paraId="37F33B7C">
      <w:pPr>
        <w:ind w:firstLine="420" w:firstLineChars="200"/>
      </w:pPr>
      <w:r>
        <w:rPr>
          <w:rFonts w:hint="eastAsia"/>
          <w:b/>
        </w:rPr>
        <w:t>2</w:t>
      </w:r>
      <w:r>
        <w:rPr>
          <w:b/>
        </w:rPr>
        <w:t>.</w:t>
      </w:r>
      <w:r>
        <w:rPr>
          <w:rFonts w:hint="eastAsia"/>
          <w:b/>
        </w:rPr>
        <w:t>在研究广度方面</w:t>
      </w:r>
      <w:r>
        <w:rPr>
          <w:rFonts w:hint="eastAsia"/>
        </w:rPr>
        <w:t>，当前的研究主要集中在初中化学的某些特定单元或主题上，而对于整个初中化学课程体系中如何全面贯彻核心素养导向的教学理念，以及如何将这种教学理念与其他学科进行跨学科融合等方面，研究还相对较少。我们可以进一步拓宽研究领域，探索核心素养导向下的初中化学教学与其他学科（如物理、生物等）的跨学科综合实践活动，以培养学生的综合素养和跨学科能力</w:t>
      </w:r>
      <w:r>
        <w:rPr>
          <w:rFonts w:hint="eastAsia"/>
          <w:lang w:eastAsia="zh-CN"/>
        </w:rPr>
        <w:t>。</w:t>
      </w:r>
      <w:r>
        <w:rPr>
          <w:rFonts w:hint="eastAsia" w:ascii="MS Gothic" w:hAnsi="MS Gothic" w:eastAsia="MS Gothic" w:cs="MS Gothic"/>
        </w:rPr>
        <w:t>‌</w:t>
      </w:r>
    </w:p>
    <w:p w14:paraId="694C59F9">
      <w:pPr>
        <w:ind w:firstLine="420" w:firstLineChars="200"/>
        <w:rPr>
          <w:rFonts w:hint="eastAsia" w:cs="MS Gothic" w:asciiTheme="minorEastAsia" w:hAnsiTheme="minorEastAsia"/>
        </w:rPr>
      </w:pPr>
      <w:r>
        <w:rPr>
          <w:rFonts w:hint="eastAsia"/>
          <w:b/>
        </w:rPr>
        <w:t>3</w:t>
      </w:r>
      <w:r>
        <w:rPr>
          <w:b/>
        </w:rPr>
        <w:t>.</w:t>
      </w:r>
      <w:r>
        <w:rPr>
          <w:rFonts w:hint="eastAsia"/>
          <w:b/>
        </w:rPr>
        <w:t>未来研究与展望</w:t>
      </w:r>
      <w:r>
        <w:rPr>
          <w:rFonts w:hint="eastAsia"/>
        </w:rPr>
        <w:t>，针对当前研究中存在的不足之处，我们还可以从以下几个方面进行改进：一是加强理论研究，深入剖析核心素养的内涵和特征，以及其在初中化学教学中的具体应用；二是丰富实践案例，通过更多的教学实践来验证和完善基于核心素养的化学教学设计；三是加强师资培训与专家引领，提升教师对核心素养导向的教学理念的理解和应用能力；四是完善评估体系，建立科学、全面的学生核心素养评估机制，以更好地指导教学实践</w:t>
      </w:r>
      <w:r>
        <w:rPr>
          <w:rFonts w:hint="eastAsia" w:ascii="MS Gothic" w:hAnsi="MS Gothic" w:eastAsia="MS Gothic" w:cs="MS Gothic"/>
        </w:rPr>
        <w:t>‌</w:t>
      </w:r>
      <w:r>
        <w:rPr>
          <w:rFonts w:hint="eastAsia" w:cs="MS Gothic" w:asciiTheme="minorEastAsia" w:hAnsiTheme="minorEastAsia"/>
        </w:rPr>
        <w:t>。</w:t>
      </w:r>
    </w:p>
    <w:p w14:paraId="1D7BD790">
      <w:pPr>
        <w:ind w:firstLine="420" w:firstLineChars="200"/>
        <w:rPr>
          <w:rFonts w:hint="eastAsia" w:cs="MS Gothic" w:asciiTheme="minorEastAsia" w:hAnsiTheme="minorEastAsia"/>
        </w:rPr>
      </w:pPr>
    </w:p>
    <w:p w14:paraId="75B20F06">
      <w:pPr>
        <w:rPr>
          <w:rFonts w:hint="eastAsia" w:cs="MS Gothic" w:asciiTheme="minorEastAsia" w:hAnsiTheme="minorEastAsia"/>
        </w:rPr>
      </w:pPr>
    </w:p>
    <w:p w14:paraId="39640034">
      <w:pPr>
        <w:ind w:firstLine="420" w:firstLineChars="200"/>
        <w:rPr>
          <w:rFonts w:hint="eastAsia" w:cs="MS Gothic" w:asciiTheme="minorEastAsia" w:hAnsiTheme="minorEastAsia"/>
        </w:rPr>
      </w:pPr>
    </w:p>
    <w:p w14:paraId="58B22519">
      <w:pPr>
        <w:ind w:firstLine="420" w:firstLineChars="200"/>
        <w:jc w:val="right"/>
        <w:rPr>
          <w:rFonts w:hint="default" w:eastAsiaTheme="minorEastAsia"/>
          <w:lang w:val="en-US" w:eastAsia="zh-CN"/>
        </w:rPr>
      </w:pPr>
      <w:r>
        <w:rPr>
          <w:rFonts w:hint="eastAsia"/>
        </w:rPr>
        <w:t>20</w:t>
      </w:r>
      <w:r>
        <w:t>2</w:t>
      </w:r>
      <w:r>
        <w:rPr>
          <w:rFonts w:hint="eastAsia"/>
          <w:lang w:val="en-US" w:eastAsia="zh-CN"/>
        </w:rPr>
        <w:t>4</w:t>
      </w:r>
      <w:r>
        <w:rPr>
          <w:rFonts w:hint="eastAsia"/>
        </w:rPr>
        <w:t>.1</w:t>
      </w:r>
      <w:r>
        <w:t>2</w:t>
      </w:r>
      <w:r>
        <w:rPr>
          <w:rFonts w:hint="eastAsia"/>
        </w:rPr>
        <w:t>.</w:t>
      </w:r>
      <w:bookmarkStart w:id="0" w:name="_GoBack"/>
      <w:bookmarkEnd w:id="0"/>
      <w:r>
        <w:rPr>
          <w:rFonts w:hint="eastAsia"/>
          <w:lang w:val="en-US" w:eastAsia="zh-CN"/>
        </w:rPr>
        <w:t>20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书宋">
    <w:altName w:val="宋体"/>
    <w:panose1 w:val="00000000000000000000"/>
    <w:charset w:val="86"/>
    <w:family w:val="roman"/>
    <w:pitch w:val="default"/>
    <w:sig w:usb0="00000000" w:usb1="00000000" w:usb2="00000010" w:usb3="00000000" w:csb0="00040000" w:csb1="00000000"/>
  </w:font>
  <w:font w:name="华光行草_CNKI">
    <w:altName w:val="宋体"/>
    <w:panose1 w:val="020005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96C95">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3AC1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02D3AC1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DE83B"/>
    <w:multiLevelType w:val="singleLevel"/>
    <w:tmpl w:val="9EBDE83B"/>
    <w:lvl w:ilvl="0" w:tentative="0">
      <w:start w:val="8"/>
      <w:numFmt w:val="chineseCounting"/>
      <w:suff w:val="nothing"/>
      <w:lvlText w:val="%1、"/>
      <w:lvlJc w:val="left"/>
      <w:rPr>
        <w:rFonts w:hint="eastAsia"/>
      </w:rPr>
    </w:lvl>
  </w:abstractNum>
  <w:abstractNum w:abstractNumId="1">
    <w:nsid w:val="61A50CE3"/>
    <w:multiLevelType w:val="singleLevel"/>
    <w:tmpl w:val="61A50CE3"/>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5E6"/>
    <w:rsid w:val="000749E3"/>
    <w:rsid w:val="00294959"/>
    <w:rsid w:val="00381040"/>
    <w:rsid w:val="00443541"/>
    <w:rsid w:val="004560AD"/>
    <w:rsid w:val="00482C07"/>
    <w:rsid w:val="005C5C5A"/>
    <w:rsid w:val="005D61A6"/>
    <w:rsid w:val="006235E5"/>
    <w:rsid w:val="00A27AA0"/>
    <w:rsid w:val="00A3339C"/>
    <w:rsid w:val="00C965E6"/>
    <w:rsid w:val="00D5688F"/>
    <w:rsid w:val="00D75CA9"/>
    <w:rsid w:val="00E15234"/>
    <w:rsid w:val="00EB4246"/>
    <w:rsid w:val="01080A12"/>
    <w:rsid w:val="013C06BC"/>
    <w:rsid w:val="01514187"/>
    <w:rsid w:val="017D7944"/>
    <w:rsid w:val="019208AD"/>
    <w:rsid w:val="01AF5332"/>
    <w:rsid w:val="01BB3CD7"/>
    <w:rsid w:val="01CF32DE"/>
    <w:rsid w:val="01D63646"/>
    <w:rsid w:val="01FB6916"/>
    <w:rsid w:val="020C008E"/>
    <w:rsid w:val="022D7245"/>
    <w:rsid w:val="02441F1E"/>
    <w:rsid w:val="02455005"/>
    <w:rsid w:val="02671768"/>
    <w:rsid w:val="026779BA"/>
    <w:rsid w:val="029E3AC7"/>
    <w:rsid w:val="02D3157B"/>
    <w:rsid w:val="030671D3"/>
    <w:rsid w:val="032064E7"/>
    <w:rsid w:val="0328539C"/>
    <w:rsid w:val="03327FC8"/>
    <w:rsid w:val="03351867"/>
    <w:rsid w:val="03840E43"/>
    <w:rsid w:val="03960557"/>
    <w:rsid w:val="03D472D2"/>
    <w:rsid w:val="04051239"/>
    <w:rsid w:val="041A22CB"/>
    <w:rsid w:val="0422003D"/>
    <w:rsid w:val="042E0790"/>
    <w:rsid w:val="04425FE9"/>
    <w:rsid w:val="045B70AB"/>
    <w:rsid w:val="047F2D99"/>
    <w:rsid w:val="04926F71"/>
    <w:rsid w:val="04B769D7"/>
    <w:rsid w:val="04C224CB"/>
    <w:rsid w:val="04C9495C"/>
    <w:rsid w:val="04D07A99"/>
    <w:rsid w:val="04E2157A"/>
    <w:rsid w:val="050220C5"/>
    <w:rsid w:val="05182245"/>
    <w:rsid w:val="053171B4"/>
    <w:rsid w:val="05373674"/>
    <w:rsid w:val="054878AC"/>
    <w:rsid w:val="055C132D"/>
    <w:rsid w:val="05772978"/>
    <w:rsid w:val="05991349"/>
    <w:rsid w:val="059C797B"/>
    <w:rsid w:val="05E80E12"/>
    <w:rsid w:val="05F31C91"/>
    <w:rsid w:val="062067FE"/>
    <w:rsid w:val="06367D9A"/>
    <w:rsid w:val="066A7A79"/>
    <w:rsid w:val="066F6E3E"/>
    <w:rsid w:val="06840B3B"/>
    <w:rsid w:val="068C5C42"/>
    <w:rsid w:val="068F128E"/>
    <w:rsid w:val="06952D48"/>
    <w:rsid w:val="06AB256C"/>
    <w:rsid w:val="06C7528D"/>
    <w:rsid w:val="06C83DCE"/>
    <w:rsid w:val="06CB49BC"/>
    <w:rsid w:val="06CC6E92"/>
    <w:rsid w:val="06D33870"/>
    <w:rsid w:val="06F70EDE"/>
    <w:rsid w:val="07133C6D"/>
    <w:rsid w:val="071D0FF8"/>
    <w:rsid w:val="07267E44"/>
    <w:rsid w:val="07571DAC"/>
    <w:rsid w:val="0757624F"/>
    <w:rsid w:val="07593D76"/>
    <w:rsid w:val="075F46F8"/>
    <w:rsid w:val="077A03D0"/>
    <w:rsid w:val="07863B16"/>
    <w:rsid w:val="07876E2F"/>
    <w:rsid w:val="079528D4"/>
    <w:rsid w:val="07A80859"/>
    <w:rsid w:val="07AE21E1"/>
    <w:rsid w:val="07D57174"/>
    <w:rsid w:val="07D96C64"/>
    <w:rsid w:val="07E55609"/>
    <w:rsid w:val="07ED0962"/>
    <w:rsid w:val="08093C1A"/>
    <w:rsid w:val="08175703"/>
    <w:rsid w:val="082C0402"/>
    <w:rsid w:val="083B16CD"/>
    <w:rsid w:val="084C38DA"/>
    <w:rsid w:val="08687FE8"/>
    <w:rsid w:val="086A47FE"/>
    <w:rsid w:val="086C30CB"/>
    <w:rsid w:val="087370B9"/>
    <w:rsid w:val="088345DF"/>
    <w:rsid w:val="088F72E1"/>
    <w:rsid w:val="08901A19"/>
    <w:rsid w:val="08986B20"/>
    <w:rsid w:val="08CF09AA"/>
    <w:rsid w:val="08D00067"/>
    <w:rsid w:val="08D062B9"/>
    <w:rsid w:val="093A1985"/>
    <w:rsid w:val="09885D9B"/>
    <w:rsid w:val="098A290C"/>
    <w:rsid w:val="099A2423"/>
    <w:rsid w:val="09B434E5"/>
    <w:rsid w:val="09C35E1E"/>
    <w:rsid w:val="09E562C4"/>
    <w:rsid w:val="0A0F2E11"/>
    <w:rsid w:val="0A2E773B"/>
    <w:rsid w:val="0A342878"/>
    <w:rsid w:val="0A481E7F"/>
    <w:rsid w:val="0A4D58DB"/>
    <w:rsid w:val="0A854E82"/>
    <w:rsid w:val="0AD57BB7"/>
    <w:rsid w:val="0ADF4592"/>
    <w:rsid w:val="0AE97930"/>
    <w:rsid w:val="0AEE7EC1"/>
    <w:rsid w:val="0AF22D2F"/>
    <w:rsid w:val="0AF90816"/>
    <w:rsid w:val="0AFB0486"/>
    <w:rsid w:val="0B064214"/>
    <w:rsid w:val="0B1F3CE3"/>
    <w:rsid w:val="0B2428ED"/>
    <w:rsid w:val="0B424B21"/>
    <w:rsid w:val="0B4D146E"/>
    <w:rsid w:val="0B6158EF"/>
    <w:rsid w:val="0B837613"/>
    <w:rsid w:val="0B884C29"/>
    <w:rsid w:val="0B8953AF"/>
    <w:rsid w:val="0BA47589"/>
    <w:rsid w:val="0BB2614A"/>
    <w:rsid w:val="0BE4674C"/>
    <w:rsid w:val="0C032502"/>
    <w:rsid w:val="0C085D6A"/>
    <w:rsid w:val="0C0F3666"/>
    <w:rsid w:val="0C414F19"/>
    <w:rsid w:val="0C550884"/>
    <w:rsid w:val="0C590374"/>
    <w:rsid w:val="0C6A2581"/>
    <w:rsid w:val="0C6F1945"/>
    <w:rsid w:val="0CA710DF"/>
    <w:rsid w:val="0CB90E13"/>
    <w:rsid w:val="0CCD3B33"/>
    <w:rsid w:val="0CD10852"/>
    <w:rsid w:val="0CD619C5"/>
    <w:rsid w:val="0CF14A50"/>
    <w:rsid w:val="0CFD1647"/>
    <w:rsid w:val="0D15073F"/>
    <w:rsid w:val="0D3D1A44"/>
    <w:rsid w:val="0D4B16DA"/>
    <w:rsid w:val="0D6945E7"/>
    <w:rsid w:val="0D6F5FA4"/>
    <w:rsid w:val="0D8368AF"/>
    <w:rsid w:val="0D841421"/>
    <w:rsid w:val="0DA54418"/>
    <w:rsid w:val="0DC21F49"/>
    <w:rsid w:val="0DC53787"/>
    <w:rsid w:val="0DE819AF"/>
    <w:rsid w:val="0DE95727"/>
    <w:rsid w:val="0DF53FDF"/>
    <w:rsid w:val="0E1327A4"/>
    <w:rsid w:val="0E195140"/>
    <w:rsid w:val="0E99714E"/>
    <w:rsid w:val="0EA16002"/>
    <w:rsid w:val="0EA37FCC"/>
    <w:rsid w:val="0EA93835"/>
    <w:rsid w:val="0EB21FBD"/>
    <w:rsid w:val="0EEF3211"/>
    <w:rsid w:val="0F204303"/>
    <w:rsid w:val="0F3B1FB3"/>
    <w:rsid w:val="0F591525"/>
    <w:rsid w:val="0F8110A9"/>
    <w:rsid w:val="0F895414"/>
    <w:rsid w:val="0FB364B5"/>
    <w:rsid w:val="0FC05B5C"/>
    <w:rsid w:val="0FDD12BC"/>
    <w:rsid w:val="10093E5F"/>
    <w:rsid w:val="1017657C"/>
    <w:rsid w:val="103C4234"/>
    <w:rsid w:val="1045133B"/>
    <w:rsid w:val="10577187"/>
    <w:rsid w:val="105B17DE"/>
    <w:rsid w:val="10B95885"/>
    <w:rsid w:val="10F13271"/>
    <w:rsid w:val="10F90377"/>
    <w:rsid w:val="10F92125"/>
    <w:rsid w:val="111E1B8C"/>
    <w:rsid w:val="11286567"/>
    <w:rsid w:val="11304BC0"/>
    <w:rsid w:val="114E421F"/>
    <w:rsid w:val="117D2D56"/>
    <w:rsid w:val="118B5473"/>
    <w:rsid w:val="11A30A08"/>
    <w:rsid w:val="11A7392F"/>
    <w:rsid w:val="11B30526"/>
    <w:rsid w:val="11C73FD2"/>
    <w:rsid w:val="11D44511"/>
    <w:rsid w:val="11E81D53"/>
    <w:rsid w:val="11FC1ECD"/>
    <w:rsid w:val="120C593C"/>
    <w:rsid w:val="12174F59"/>
    <w:rsid w:val="122B32F1"/>
    <w:rsid w:val="12317F34"/>
    <w:rsid w:val="124675EC"/>
    <w:rsid w:val="12630599"/>
    <w:rsid w:val="12A762DD"/>
    <w:rsid w:val="12B61F29"/>
    <w:rsid w:val="12BC165D"/>
    <w:rsid w:val="12ED5CBA"/>
    <w:rsid w:val="12F2507E"/>
    <w:rsid w:val="12F40DF6"/>
    <w:rsid w:val="12F928B1"/>
    <w:rsid w:val="12FB03D7"/>
    <w:rsid w:val="134E49AB"/>
    <w:rsid w:val="13B145C0"/>
    <w:rsid w:val="13B75003"/>
    <w:rsid w:val="141130B2"/>
    <w:rsid w:val="141A2ADF"/>
    <w:rsid w:val="141D612B"/>
    <w:rsid w:val="14207959"/>
    <w:rsid w:val="14237BE5"/>
    <w:rsid w:val="1427091D"/>
    <w:rsid w:val="14447B5C"/>
    <w:rsid w:val="14576F12"/>
    <w:rsid w:val="147A6014"/>
    <w:rsid w:val="147C10A3"/>
    <w:rsid w:val="14830684"/>
    <w:rsid w:val="14975EDD"/>
    <w:rsid w:val="149D101A"/>
    <w:rsid w:val="14A05457"/>
    <w:rsid w:val="14E82BDD"/>
    <w:rsid w:val="14FD28A1"/>
    <w:rsid w:val="151872A2"/>
    <w:rsid w:val="15194B44"/>
    <w:rsid w:val="151E65FF"/>
    <w:rsid w:val="15317342"/>
    <w:rsid w:val="15474D46"/>
    <w:rsid w:val="158D108E"/>
    <w:rsid w:val="159E24CA"/>
    <w:rsid w:val="15F07F9B"/>
    <w:rsid w:val="15F47192"/>
    <w:rsid w:val="15F66C34"/>
    <w:rsid w:val="16196205"/>
    <w:rsid w:val="16210154"/>
    <w:rsid w:val="16300397"/>
    <w:rsid w:val="16500A3A"/>
    <w:rsid w:val="165027E8"/>
    <w:rsid w:val="166718DF"/>
    <w:rsid w:val="166A3452"/>
    <w:rsid w:val="16721C9F"/>
    <w:rsid w:val="169C77DB"/>
    <w:rsid w:val="169E6FE9"/>
    <w:rsid w:val="16BF171B"/>
    <w:rsid w:val="16BF796D"/>
    <w:rsid w:val="16EF4171"/>
    <w:rsid w:val="16F21AF1"/>
    <w:rsid w:val="17011D34"/>
    <w:rsid w:val="17190E2C"/>
    <w:rsid w:val="1740285C"/>
    <w:rsid w:val="174D4F79"/>
    <w:rsid w:val="174F153D"/>
    <w:rsid w:val="175207E1"/>
    <w:rsid w:val="176C3651"/>
    <w:rsid w:val="177C4596"/>
    <w:rsid w:val="17832749"/>
    <w:rsid w:val="1784588D"/>
    <w:rsid w:val="17887D5F"/>
    <w:rsid w:val="1796247C"/>
    <w:rsid w:val="17A07677"/>
    <w:rsid w:val="17C074F9"/>
    <w:rsid w:val="17CA130A"/>
    <w:rsid w:val="17DF272E"/>
    <w:rsid w:val="17E23913"/>
    <w:rsid w:val="18075128"/>
    <w:rsid w:val="182C1472"/>
    <w:rsid w:val="183D4FEE"/>
    <w:rsid w:val="184B5853"/>
    <w:rsid w:val="18581E27"/>
    <w:rsid w:val="186500A0"/>
    <w:rsid w:val="18716A45"/>
    <w:rsid w:val="189F6908"/>
    <w:rsid w:val="18C33745"/>
    <w:rsid w:val="18CC2224"/>
    <w:rsid w:val="18DD5578"/>
    <w:rsid w:val="18FF04F5"/>
    <w:rsid w:val="1934019F"/>
    <w:rsid w:val="197B5DCD"/>
    <w:rsid w:val="19805192"/>
    <w:rsid w:val="198729C4"/>
    <w:rsid w:val="1990186C"/>
    <w:rsid w:val="199602BD"/>
    <w:rsid w:val="19AA66B3"/>
    <w:rsid w:val="19B25567"/>
    <w:rsid w:val="19C37774"/>
    <w:rsid w:val="19FD48D6"/>
    <w:rsid w:val="1A226249"/>
    <w:rsid w:val="1A2E2E40"/>
    <w:rsid w:val="1A3108B0"/>
    <w:rsid w:val="1A3B730B"/>
    <w:rsid w:val="1A6B5E42"/>
    <w:rsid w:val="1A734CF7"/>
    <w:rsid w:val="1A8C7B66"/>
    <w:rsid w:val="1A937147"/>
    <w:rsid w:val="1A98475D"/>
    <w:rsid w:val="1AB175CD"/>
    <w:rsid w:val="1ADC0834"/>
    <w:rsid w:val="1B505038"/>
    <w:rsid w:val="1B593EEC"/>
    <w:rsid w:val="1B5F12B0"/>
    <w:rsid w:val="1B801B09"/>
    <w:rsid w:val="1B826AF7"/>
    <w:rsid w:val="1B866CAC"/>
    <w:rsid w:val="1B8D1DE8"/>
    <w:rsid w:val="1B966EEF"/>
    <w:rsid w:val="1B972C67"/>
    <w:rsid w:val="1B977D90"/>
    <w:rsid w:val="1BA8502E"/>
    <w:rsid w:val="1BAD4238"/>
    <w:rsid w:val="1BBE4697"/>
    <w:rsid w:val="1BDD2D6F"/>
    <w:rsid w:val="1BF956CF"/>
    <w:rsid w:val="1C0721E0"/>
    <w:rsid w:val="1C1B73F4"/>
    <w:rsid w:val="1C36422E"/>
    <w:rsid w:val="1C534DE0"/>
    <w:rsid w:val="1C56667E"/>
    <w:rsid w:val="1C76287C"/>
    <w:rsid w:val="1C7B60E4"/>
    <w:rsid w:val="1CD06430"/>
    <w:rsid w:val="1CD32386"/>
    <w:rsid w:val="1CD81789"/>
    <w:rsid w:val="1CE26164"/>
    <w:rsid w:val="1CFE5619"/>
    <w:rsid w:val="1D1F1166"/>
    <w:rsid w:val="1D3C3AC6"/>
    <w:rsid w:val="1D4209B0"/>
    <w:rsid w:val="1D6372A4"/>
    <w:rsid w:val="1D743260"/>
    <w:rsid w:val="1D816D60"/>
    <w:rsid w:val="1DA8087A"/>
    <w:rsid w:val="1DBC769C"/>
    <w:rsid w:val="1DD106B2"/>
    <w:rsid w:val="1DF93765"/>
    <w:rsid w:val="1E5135A1"/>
    <w:rsid w:val="1E6B7DAD"/>
    <w:rsid w:val="1E814BC4"/>
    <w:rsid w:val="1EA77665"/>
    <w:rsid w:val="1EAC07D7"/>
    <w:rsid w:val="1EB454F7"/>
    <w:rsid w:val="1EB63404"/>
    <w:rsid w:val="1EBA6808"/>
    <w:rsid w:val="1EE63BA8"/>
    <w:rsid w:val="1EF06916"/>
    <w:rsid w:val="1F0B19A2"/>
    <w:rsid w:val="1F175179"/>
    <w:rsid w:val="1F1840BF"/>
    <w:rsid w:val="1F2E743E"/>
    <w:rsid w:val="1F383A50"/>
    <w:rsid w:val="1F38645C"/>
    <w:rsid w:val="1F413615"/>
    <w:rsid w:val="1F8E29EC"/>
    <w:rsid w:val="1F970D8E"/>
    <w:rsid w:val="1FB02549"/>
    <w:rsid w:val="1FC85AE5"/>
    <w:rsid w:val="1FD75D28"/>
    <w:rsid w:val="1FE65D75"/>
    <w:rsid w:val="1FF00B97"/>
    <w:rsid w:val="1FF31585"/>
    <w:rsid w:val="2014753F"/>
    <w:rsid w:val="202251F5"/>
    <w:rsid w:val="202E4B31"/>
    <w:rsid w:val="20315438"/>
    <w:rsid w:val="20344F28"/>
    <w:rsid w:val="20374413"/>
    <w:rsid w:val="203A6D77"/>
    <w:rsid w:val="203B62B7"/>
    <w:rsid w:val="203C3DDD"/>
    <w:rsid w:val="205630F0"/>
    <w:rsid w:val="206016CD"/>
    <w:rsid w:val="206D3F96"/>
    <w:rsid w:val="20735512"/>
    <w:rsid w:val="20783067"/>
    <w:rsid w:val="207F330F"/>
    <w:rsid w:val="208319DF"/>
    <w:rsid w:val="20B41BC5"/>
    <w:rsid w:val="20BD3FB9"/>
    <w:rsid w:val="20C130C2"/>
    <w:rsid w:val="20CE712B"/>
    <w:rsid w:val="20F30026"/>
    <w:rsid w:val="211E38B3"/>
    <w:rsid w:val="212705E9"/>
    <w:rsid w:val="21271BF9"/>
    <w:rsid w:val="21272270"/>
    <w:rsid w:val="213811FB"/>
    <w:rsid w:val="215533A8"/>
    <w:rsid w:val="21555156"/>
    <w:rsid w:val="215D400B"/>
    <w:rsid w:val="219746CE"/>
    <w:rsid w:val="21DD4A19"/>
    <w:rsid w:val="21DD6EFA"/>
    <w:rsid w:val="21F42BC1"/>
    <w:rsid w:val="21F7620D"/>
    <w:rsid w:val="21FD7606"/>
    <w:rsid w:val="220F17A9"/>
    <w:rsid w:val="22192627"/>
    <w:rsid w:val="221A1EFC"/>
    <w:rsid w:val="222B5EB7"/>
    <w:rsid w:val="22482F0D"/>
    <w:rsid w:val="22543660"/>
    <w:rsid w:val="22574EFE"/>
    <w:rsid w:val="225E44DE"/>
    <w:rsid w:val="22934188"/>
    <w:rsid w:val="22C81958"/>
    <w:rsid w:val="22D447A0"/>
    <w:rsid w:val="22DB78DD"/>
    <w:rsid w:val="22EA5D72"/>
    <w:rsid w:val="22EC6EE7"/>
    <w:rsid w:val="22F27762"/>
    <w:rsid w:val="230B4F2D"/>
    <w:rsid w:val="231E77CA"/>
    <w:rsid w:val="234C4337"/>
    <w:rsid w:val="23706277"/>
    <w:rsid w:val="238735C1"/>
    <w:rsid w:val="2392443F"/>
    <w:rsid w:val="23974F97"/>
    <w:rsid w:val="23A06D2D"/>
    <w:rsid w:val="23C2284B"/>
    <w:rsid w:val="23C91E2B"/>
    <w:rsid w:val="23D700A4"/>
    <w:rsid w:val="23E00F22"/>
    <w:rsid w:val="24633790"/>
    <w:rsid w:val="24653902"/>
    <w:rsid w:val="246833F2"/>
    <w:rsid w:val="247C6E9E"/>
    <w:rsid w:val="248D6176"/>
    <w:rsid w:val="24AF2DCF"/>
    <w:rsid w:val="24B02CB6"/>
    <w:rsid w:val="24C60CE2"/>
    <w:rsid w:val="24DD5A21"/>
    <w:rsid w:val="24F1163A"/>
    <w:rsid w:val="2531393D"/>
    <w:rsid w:val="25665B84"/>
    <w:rsid w:val="25850F5F"/>
    <w:rsid w:val="25B20DC9"/>
    <w:rsid w:val="25BC39F6"/>
    <w:rsid w:val="25C91C6F"/>
    <w:rsid w:val="25CB28DB"/>
    <w:rsid w:val="25D5565D"/>
    <w:rsid w:val="25D647F8"/>
    <w:rsid w:val="25DD396C"/>
    <w:rsid w:val="25F807A6"/>
    <w:rsid w:val="26123616"/>
    <w:rsid w:val="261E645E"/>
    <w:rsid w:val="26323CB8"/>
    <w:rsid w:val="26347A30"/>
    <w:rsid w:val="268362C1"/>
    <w:rsid w:val="268D7140"/>
    <w:rsid w:val="268F2EB8"/>
    <w:rsid w:val="26C568DA"/>
    <w:rsid w:val="26E643AD"/>
    <w:rsid w:val="26E8136C"/>
    <w:rsid w:val="270A69E3"/>
    <w:rsid w:val="272A2BE1"/>
    <w:rsid w:val="27351CB2"/>
    <w:rsid w:val="27383550"/>
    <w:rsid w:val="273B3040"/>
    <w:rsid w:val="27414187"/>
    <w:rsid w:val="276A7481"/>
    <w:rsid w:val="27800A53"/>
    <w:rsid w:val="278C389C"/>
    <w:rsid w:val="27A42993"/>
    <w:rsid w:val="27AC7A9A"/>
    <w:rsid w:val="27C070A1"/>
    <w:rsid w:val="27F76F67"/>
    <w:rsid w:val="28013942"/>
    <w:rsid w:val="28041684"/>
    <w:rsid w:val="280E42B1"/>
    <w:rsid w:val="2810627B"/>
    <w:rsid w:val="28153891"/>
    <w:rsid w:val="28177609"/>
    <w:rsid w:val="282D1ACD"/>
    <w:rsid w:val="28363B6E"/>
    <w:rsid w:val="28447CD2"/>
    <w:rsid w:val="284A1FB6"/>
    <w:rsid w:val="284F6DA3"/>
    <w:rsid w:val="28644F63"/>
    <w:rsid w:val="28AD1D1C"/>
    <w:rsid w:val="28DF6545"/>
    <w:rsid w:val="28F811E9"/>
    <w:rsid w:val="28F90ABD"/>
    <w:rsid w:val="290F204E"/>
    <w:rsid w:val="29283150"/>
    <w:rsid w:val="294F4B81"/>
    <w:rsid w:val="296D5007"/>
    <w:rsid w:val="29935EC6"/>
    <w:rsid w:val="29AC5B2F"/>
    <w:rsid w:val="29BD7D3C"/>
    <w:rsid w:val="29DB7BC5"/>
    <w:rsid w:val="29DE3ED0"/>
    <w:rsid w:val="29F36631"/>
    <w:rsid w:val="29F80E51"/>
    <w:rsid w:val="2A004A26"/>
    <w:rsid w:val="2A21651D"/>
    <w:rsid w:val="2A391AB9"/>
    <w:rsid w:val="2A3C4787"/>
    <w:rsid w:val="2A5A405F"/>
    <w:rsid w:val="2A683E43"/>
    <w:rsid w:val="2A832D34"/>
    <w:rsid w:val="2AA46484"/>
    <w:rsid w:val="2AA64C74"/>
    <w:rsid w:val="2AB8479E"/>
    <w:rsid w:val="2ABC56C6"/>
    <w:rsid w:val="2ABF11E3"/>
    <w:rsid w:val="2AC11437"/>
    <w:rsid w:val="2AD90BA6"/>
    <w:rsid w:val="2AF91248"/>
    <w:rsid w:val="2B1367B6"/>
    <w:rsid w:val="2B1C0A93"/>
    <w:rsid w:val="2B250618"/>
    <w:rsid w:val="2B404D1C"/>
    <w:rsid w:val="2B4E4C43"/>
    <w:rsid w:val="2BB60EE7"/>
    <w:rsid w:val="2C0C6D59"/>
    <w:rsid w:val="2C155C0E"/>
    <w:rsid w:val="2C7218B3"/>
    <w:rsid w:val="2C934D84"/>
    <w:rsid w:val="2CA156F3"/>
    <w:rsid w:val="2CB17636"/>
    <w:rsid w:val="2CBE62A5"/>
    <w:rsid w:val="2CBF3DCB"/>
    <w:rsid w:val="2CFA4E04"/>
    <w:rsid w:val="2D0F6B01"/>
    <w:rsid w:val="2D1063D5"/>
    <w:rsid w:val="2D3D212F"/>
    <w:rsid w:val="2D4C1EE7"/>
    <w:rsid w:val="2D5E5392"/>
    <w:rsid w:val="2D74105A"/>
    <w:rsid w:val="2D796F17"/>
    <w:rsid w:val="2D8079FF"/>
    <w:rsid w:val="2D8C3A3D"/>
    <w:rsid w:val="2DA44895"/>
    <w:rsid w:val="2DC25921"/>
    <w:rsid w:val="2DCC054E"/>
    <w:rsid w:val="2DD41AF8"/>
    <w:rsid w:val="2DF06932"/>
    <w:rsid w:val="2E0C3040"/>
    <w:rsid w:val="2E232138"/>
    <w:rsid w:val="2E382087"/>
    <w:rsid w:val="2E433834"/>
    <w:rsid w:val="2EBB4A5F"/>
    <w:rsid w:val="2ECE479A"/>
    <w:rsid w:val="2ED33016"/>
    <w:rsid w:val="2EE21A82"/>
    <w:rsid w:val="2EFF6701"/>
    <w:rsid w:val="2F177EEF"/>
    <w:rsid w:val="2F1C3757"/>
    <w:rsid w:val="2F713AA3"/>
    <w:rsid w:val="2F8C3303"/>
    <w:rsid w:val="2F9B4539"/>
    <w:rsid w:val="2FB92D54"/>
    <w:rsid w:val="2FC11C09"/>
    <w:rsid w:val="2FCD4A51"/>
    <w:rsid w:val="2FF342E1"/>
    <w:rsid w:val="30431B66"/>
    <w:rsid w:val="304A60A2"/>
    <w:rsid w:val="30533F6E"/>
    <w:rsid w:val="308570DA"/>
    <w:rsid w:val="30860A16"/>
    <w:rsid w:val="308E72D3"/>
    <w:rsid w:val="30DE27BB"/>
    <w:rsid w:val="30EB1633"/>
    <w:rsid w:val="31191065"/>
    <w:rsid w:val="311F308B"/>
    <w:rsid w:val="31293F09"/>
    <w:rsid w:val="312F620E"/>
    <w:rsid w:val="31321010"/>
    <w:rsid w:val="313C3C3D"/>
    <w:rsid w:val="31653193"/>
    <w:rsid w:val="31705EE7"/>
    <w:rsid w:val="31C85368"/>
    <w:rsid w:val="31D03FA0"/>
    <w:rsid w:val="31D16A7B"/>
    <w:rsid w:val="31D43E75"/>
    <w:rsid w:val="31D73965"/>
    <w:rsid w:val="31DB5204"/>
    <w:rsid w:val="32252923"/>
    <w:rsid w:val="322555EA"/>
    <w:rsid w:val="325936F8"/>
    <w:rsid w:val="327B0795"/>
    <w:rsid w:val="32C75BF4"/>
    <w:rsid w:val="32D76116"/>
    <w:rsid w:val="32DE7BE5"/>
    <w:rsid w:val="32E7076E"/>
    <w:rsid w:val="32FE0135"/>
    <w:rsid w:val="330469DC"/>
    <w:rsid w:val="33323549"/>
    <w:rsid w:val="3337290D"/>
    <w:rsid w:val="333B1D03"/>
    <w:rsid w:val="33667F12"/>
    <w:rsid w:val="33971295"/>
    <w:rsid w:val="33976255"/>
    <w:rsid w:val="339E298D"/>
    <w:rsid w:val="33A06705"/>
    <w:rsid w:val="33C01548"/>
    <w:rsid w:val="33D62126"/>
    <w:rsid w:val="33E12879"/>
    <w:rsid w:val="33FE342B"/>
    <w:rsid w:val="342864BE"/>
    <w:rsid w:val="34317F55"/>
    <w:rsid w:val="343B642D"/>
    <w:rsid w:val="3445105A"/>
    <w:rsid w:val="345B6AD0"/>
    <w:rsid w:val="346E05B1"/>
    <w:rsid w:val="348D0665"/>
    <w:rsid w:val="349124F1"/>
    <w:rsid w:val="34A9783B"/>
    <w:rsid w:val="34B34216"/>
    <w:rsid w:val="34CA155F"/>
    <w:rsid w:val="34E40873"/>
    <w:rsid w:val="3511718E"/>
    <w:rsid w:val="3529097C"/>
    <w:rsid w:val="352C5D76"/>
    <w:rsid w:val="35374E47"/>
    <w:rsid w:val="354B26A0"/>
    <w:rsid w:val="355D1673"/>
    <w:rsid w:val="3566572C"/>
    <w:rsid w:val="3579545F"/>
    <w:rsid w:val="358F7A72"/>
    <w:rsid w:val="359A53D6"/>
    <w:rsid w:val="359F29EC"/>
    <w:rsid w:val="35A3072E"/>
    <w:rsid w:val="35A36FD2"/>
    <w:rsid w:val="35B75F88"/>
    <w:rsid w:val="35C30488"/>
    <w:rsid w:val="35FC399A"/>
    <w:rsid w:val="361354BE"/>
    <w:rsid w:val="36321AB2"/>
    <w:rsid w:val="36714707"/>
    <w:rsid w:val="367479D5"/>
    <w:rsid w:val="36AB3BA3"/>
    <w:rsid w:val="36F80606"/>
    <w:rsid w:val="374D6BA3"/>
    <w:rsid w:val="376736AE"/>
    <w:rsid w:val="377A54BF"/>
    <w:rsid w:val="379522F8"/>
    <w:rsid w:val="37AB5678"/>
    <w:rsid w:val="37BA1D5F"/>
    <w:rsid w:val="37C4498C"/>
    <w:rsid w:val="37C52BDE"/>
    <w:rsid w:val="37C87FD8"/>
    <w:rsid w:val="37D50947"/>
    <w:rsid w:val="3801173C"/>
    <w:rsid w:val="382C1747"/>
    <w:rsid w:val="384F59F2"/>
    <w:rsid w:val="3867168C"/>
    <w:rsid w:val="38675A43"/>
    <w:rsid w:val="38CD161E"/>
    <w:rsid w:val="38D94467"/>
    <w:rsid w:val="38DA5C63"/>
    <w:rsid w:val="38E2156D"/>
    <w:rsid w:val="39023BF8"/>
    <w:rsid w:val="392D6FD1"/>
    <w:rsid w:val="39897C3B"/>
    <w:rsid w:val="398E6FFF"/>
    <w:rsid w:val="39930B01"/>
    <w:rsid w:val="39935BA4"/>
    <w:rsid w:val="39AF4A24"/>
    <w:rsid w:val="39B0341A"/>
    <w:rsid w:val="39B5458C"/>
    <w:rsid w:val="39D07618"/>
    <w:rsid w:val="3A30545C"/>
    <w:rsid w:val="3A4931D0"/>
    <w:rsid w:val="3A4B3142"/>
    <w:rsid w:val="3A4F0030"/>
    <w:rsid w:val="3A761B04"/>
    <w:rsid w:val="3A9B5E78"/>
    <w:rsid w:val="3AA80595"/>
    <w:rsid w:val="3AAC1E33"/>
    <w:rsid w:val="3ACA2A7C"/>
    <w:rsid w:val="3ACD3B57"/>
    <w:rsid w:val="3AFD61EB"/>
    <w:rsid w:val="3B36176B"/>
    <w:rsid w:val="3B4262F3"/>
    <w:rsid w:val="3B4F27BE"/>
    <w:rsid w:val="3B762441"/>
    <w:rsid w:val="3B7D732B"/>
    <w:rsid w:val="3B912340"/>
    <w:rsid w:val="3BAB20EB"/>
    <w:rsid w:val="3BC62A80"/>
    <w:rsid w:val="3BC94845"/>
    <w:rsid w:val="3BCE7B87"/>
    <w:rsid w:val="3BD3519D"/>
    <w:rsid w:val="3C0D06AF"/>
    <w:rsid w:val="3C277297"/>
    <w:rsid w:val="3C2C6CFD"/>
    <w:rsid w:val="3C3C3D0E"/>
    <w:rsid w:val="3C5067EE"/>
    <w:rsid w:val="3C7C664D"/>
    <w:rsid w:val="3C940DD1"/>
    <w:rsid w:val="3CAF1767"/>
    <w:rsid w:val="3CF03B2D"/>
    <w:rsid w:val="3CFD4BC8"/>
    <w:rsid w:val="3D0A4BEF"/>
    <w:rsid w:val="3D2139CC"/>
    <w:rsid w:val="3D31661F"/>
    <w:rsid w:val="3D346110"/>
    <w:rsid w:val="3D556267"/>
    <w:rsid w:val="3D5B18EE"/>
    <w:rsid w:val="3D622C7D"/>
    <w:rsid w:val="3D7D7AB7"/>
    <w:rsid w:val="3D99013D"/>
    <w:rsid w:val="3DA0122B"/>
    <w:rsid w:val="3DBC3878"/>
    <w:rsid w:val="3DD5344F"/>
    <w:rsid w:val="3DE6565C"/>
    <w:rsid w:val="3DFA1107"/>
    <w:rsid w:val="3DFF671E"/>
    <w:rsid w:val="3E0E4BB3"/>
    <w:rsid w:val="3E2D328B"/>
    <w:rsid w:val="3E5F0F6A"/>
    <w:rsid w:val="3E7975F2"/>
    <w:rsid w:val="3E853C97"/>
    <w:rsid w:val="3E946E66"/>
    <w:rsid w:val="3EA1722B"/>
    <w:rsid w:val="3EC12500"/>
    <w:rsid w:val="3EF1000F"/>
    <w:rsid w:val="3F2A77CA"/>
    <w:rsid w:val="3F375A43"/>
    <w:rsid w:val="3F7D0DB4"/>
    <w:rsid w:val="3F806776"/>
    <w:rsid w:val="3FB05F21"/>
    <w:rsid w:val="3FE61943"/>
    <w:rsid w:val="3FE82A49"/>
    <w:rsid w:val="3FF73B50"/>
    <w:rsid w:val="40093884"/>
    <w:rsid w:val="40210BCD"/>
    <w:rsid w:val="402A0777"/>
    <w:rsid w:val="405045F3"/>
    <w:rsid w:val="405B04B1"/>
    <w:rsid w:val="407928EC"/>
    <w:rsid w:val="407A02DD"/>
    <w:rsid w:val="407F58F4"/>
    <w:rsid w:val="408B3FB4"/>
    <w:rsid w:val="40AB0497"/>
    <w:rsid w:val="40CF687B"/>
    <w:rsid w:val="40DE6ABE"/>
    <w:rsid w:val="40FB7670"/>
    <w:rsid w:val="41115F4D"/>
    <w:rsid w:val="415648A7"/>
    <w:rsid w:val="41621B6F"/>
    <w:rsid w:val="41720FB5"/>
    <w:rsid w:val="41894C7C"/>
    <w:rsid w:val="41923405"/>
    <w:rsid w:val="41AF47E3"/>
    <w:rsid w:val="41C52874"/>
    <w:rsid w:val="41C565E5"/>
    <w:rsid w:val="41E40104"/>
    <w:rsid w:val="420C765B"/>
    <w:rsid w:val="421A1D78"/>
    <w:rsid w:val="423A7D24"/>
    <w:rsid w:val="423B3A9C"/>
    <w:rsid w:val="42521512"/>
    <w:rsid w:val="425D1C65"/>
    <w:rsid w:val="42644DA1"/>
    <w:rsid w:val="4290203A"/>
    <w:rsid w:val="42903DE8"/>
    <w:rsid w:val="429733C9"/>
    <w:rsid w:val="429945ED"/>
    <w:rsid w:val="42B20202"/>
    <w:rsid w:val="42BE177B"/>
    <w:rsid w:val="42C53717"/>
    <w:rsid w:val="42D9578F"/>
    <w:rsid w:val="42ED123B"/>
    <w:rsid w:val="42F54897"/>
    <w:rsid w:val="42F74D3A"/>
    <w:rsid w:val="43086341"/>
    <w:rsid w:val="430B7913"/>
    <w:rsid w:val="43140575"/>
    <w:rsid w:val="432509D4"/>
    <w:rsid w:val="43284021"/>
    <w:rsid w:val="43305354"/>
    <w:rsid w:val="43654948"/>
    <w:rsid w:val="43755937"/>
    <w:rsid w:val="43770B04"/>
    <w:rsid w:val="43813731"/>
    <w:rsid w:val="438356FB"/>
    <w:rsid w:val="43AC41B4"/>
    <w:rsid w:val="43AD2778"/>
    <w:rsid w:val="43CF6B92"/>
    <w:rsid w:val="43D23F8D"/>
    <w:rsid w:val="43DD4E0B"/>
    <w:rsid w:val="43F735BB"/>
    <w:rsid w:val="44112C76"/>
    <w:rsid w:val="44216FB2"/>
    <w:rsid w:val="44262384"/>
    <w:rsid w:val="44663053"/>
    <w:rsid w:val="44B30262"/>
    <w:rsid w:val="44BA6EFA"/>
    <w:rsid w:val="44C24001"/>
    <w:rsid w:val="44D97CC8"/>
    <w:rsid w:val="44E81CBA"/>
    <w:rsid w:val="44F543D6"/>
    <w:rsid w:val="450D1720"/>
    <w:rsid w:val="451731DD"/>
    <w:rsid w:val="451F1453"/>
    <w:rsid w:val="454D4212"/>
    <w:rsid w:val="454F1D39"/>
    <w:rsid w:val="45701CAF"/>
    <w:rsid w:val="457C4AF8"/>
    <w:rsid w:val="45806396"/>
    <w:rsid w:val="45967968"/>
    <w:rsid w:val="459B31D0"/>
    <w:rsid w:val="459C4852"/>
    <w:rsid w:val="45AB11E6"/>
    <w:rsid w:val="45AC03A0"/>
    <w:rsid w:val="45B85B30"/>
    <w:rsid w:val="45C36283"/>
    <w:rsid w:val="45D1274E"/>
    <w:rsid w:val="45D92980"/>
    <w:rsid w:val="45DE30BD"/>
    <w:rsid w:val="45E71F71"/>
    <w:rsid w:val="45FD1795"/>
    <w:rsid w:val="45FE550D"/>
    <w:rsid w:val="46001285"/>
    <w:rsid w:val="462907DC"/>
    <w:rsid w:val="46470C62"/>
    <w:rsid w:val="464A2500"/>
    <w:rsid w:val="464C6278"/>
    <w:rsid w:val="464E3D9E"/>
    <w:rsid w:val="465B64BB"/>
    <w:rsid w:val="46623CEE"/>
    <w:rsid w:val="4662784A"/>
    <w:rsid w:val="46873754"/>
    <w:rsid w:val="4689127A"/>
    <w:rsid w:val="469320F9"/>
    <w:rsid w:val="46933EA7"/>
    <w:rsid w:val="469F0A9E"/>
    <w:rsid w:val="46B03AF2"/>
    <w:rsid w:val="46C202E8"/>
    <w:rsid w:val="46C94CC5"/>
    <w:rsid w:val="46DC3AA0"/>
    <w:rsid w:val="46DF70EC"/>
    <w:rsid w:val="46E841F3"/>
    <w:rsid w:val="46E97F6B"/>
    <w:rsid w:val="46FA5CD4"/>
    <w:rsid w:val="47094169"/>
    <w:rsid w:val="470D4E2D"/>
    <w:rsid w:val="4712301E"/>
    <w:rsid w:val="4723522B"/>
    <w:rsid w:val="47256537"/>
    <w:rsid w:val="472E3BD0"/>
    <w:rsid w:val="47307948"/>
    <w:rsid w:val="474358CD"/>
    <w:rsid w:val="47694C08"/>
    <w:rsid w:val="476A2E5A"/>
    <w:rsid w:val="47794E4B"/>
    <w:rsid w:val="47A65E5C"/>
    <w:rsid w:val="47C575DE"/>
    <w:rsid w:val="47C702AC"/>
    <w:rsid w:val="47D46525"/>
    <w:rsid w:val="47D62416"/>
    <w:rsid w:val="47DC187E"/>
    <w:rsid w:val="47FE5A06"/>
    <w:rsid w:val="48036E0A"/>
    <w:rsid w:val="480A0199"/>
    <w:rsid w:val="48221986"/>
    <w:rsid w:val="482B75F4"/>
    <w:rsid w:val="484713ED"/>
    <w:rsid w:val="4860425D"/>
    <w:rsid w:val="487E032C"/>
    <w:rsid w:val="48847F4B"/>
    <w:rsid w:val="48952158"/>
    <w:rsid w:val="48C42A3E"/>
    <w:rsid w:val="48C52312"/>
    <w:rsid w:val="48FA1FBB"/>
    <w:rsid w:val="48FC65F5"/>
    <w:rsid w:val="491039E8"/>
    <w:rsid w:val="49144504"/>
    <w:rsid w:val="493F0316"/>
    <w:rsid w:val="493F20C4"/>
    <w:rsid w:val="49553696"/>
    <w:rsid w:val="49755AE6"/>
    <w:rsid w:val="49877A00"/>
    <w:rsid w:val="49A63EF1"/>
    <w:rsid w:val="49B90028"/>
    <w:rsid w:val="49BA799D"/>
    <w:rsid w:val="49D05807"/>
    <w:rsid w:val="49E97107"/>
    <w:rsid w:val="4A0330F2"/>
    <w:rsid w:val="4A0C644A"/>
    <w:rsid w:val="4A377BA8"/>
    <w:rsid w:val="4A3D4856"/>
    <w:rsid w:val="4A475610"/>
    <w:rsid w:val="4A544985"/>
    <w:rsid w:val="4A547DF1"/>
    <w:rsid w:val="4A5D4EF8"/>
    <w:rsid w:val="4A8F4985"/>
    <w:rsid w:val="4A9B4D88"/>
    <w:rsid w:val="4ADB4F09"/>
    <w:rsid w:val="4AE27323"/>
    <w:rsid w:val="4B132F8D"/>
    <w:rsid w:val="4B1D6435"/>
    <w:rsid w:val="4B2C6678"/>
    <w:rsid w:val="4B2E6D15"/>
    <w:rsid w:val="4B441C14"/>
    <w:rsid w:val="4B4B2FA2"/>
    <w:rsid w:val="4B566323"/>
    <w:rsid w:val="4B6127C6"/>
    <w:rsid w:val="4B652BDB"/>
    <w:rsid w:val="4BBA3C84"/>
    <w:rsid w:val="4BBF129A"/>
    <w:rsid w:val="4BC468B1"/>
    <w:rsid w:val="4BF54CBC"/>
    <w:rsid w:val="4C1E4213"/>
    <w:rsid w:val="4C2757BD"/>
    <w:rsid w:val="4C285091"/>
    <w:rsid w:val="4C4874E2"/>
    <w:rsid w:val="4C4A14AC"/>
    <w:rsid w:val="4C602A7D"/>
    <w:rsid w:val="4C612351"/>
    <w:rsid w:val="4C63431C"/>
    <w:rsid w:val="4C7107E7"/>
    <w:rsid w:val="4CCA439B"/>
    <w:rsid w:val="4CEE0CE9"/>
    <w:rsid w:val="4CF803E4"/>
    <w:rsid w:val="4D0745D0"/>
    <w:rsid w:val="4D227D33"/>
    <w:rsid w:val="4D3A507C"/>
    <w:rsid w:val="4D510618"/>
    <w:rsid w:val="4D553C64"/>
    <w:rsid w:val="4D907392"/>
    <w:rsid w:val="4D9329DF"/>
    <w:rsid w:val="4D9549A9"/>
    <w:rsid w:val="4DC4528E"/>
    <w:rsid w:val="4DCB03CA"/>
    <w:rsid w:val="4DE1374A"/>
    <w:rsid w:val="4DFF00BD"/>
    <w:rsid w:val="4E5C54C6"/>
    <w:rsid w:val="4E772300"/>
    <w:rsid w:val="4EA40E15"/>
    <w:rsid w:val="4EC45545"/>
    <w:rsid w:val="4ED11A10"/>
    <w:rsid w:val="4EDB660F"/>
    <w:rsid w:val="4EF37BD9"/>
    <w:rsid w:val="4EF72C5F"/>
    <w:rsid w:val="4F035942"/>
    <w:rsid w:val="4F1D2EA8"/>
    <w:rsid w:val="4F2170AB"/>
    <w:rsid w:val="4F2558B8"/>
    <w:rsid w:val="4F5A7C58"/>
    <w:rsid w:val="4F635C11"/>
    <w:rsid w:val="4F7A0DE7"/>
    <w:rsid w:val="4F7E4CF7"/>
    <w:rsid w:val="4F8E5B53"/>
    <w:rsid w:val="4FC275AB"/>
    <w:rsid w:val="4FC357FD"/>
    <w:rsid w:val="4FD74D0A"/>
    <w:rsid w:val="4FDB306A"/>
    <w:rsid w:val="50175B49"/>
    <w:rsid w:val="50306C0B"/>
    <w:rsid w:val="50406E4E"/>
    <w:rsid w:val="50454464"/>
    <w:rsid w:val="504601DC"/>
    <w:rsid w:val="504B75A0"/>
    <w:rsid w:val="507408A5"/>
    <w:rsid w:val="50B27620"/>
    <w:rsid w:val="50B96C00"/>
    <w:rsid w:val="50CD0815"/>
    <w:rsid w:val="50E33C7D"/>
    <w:rsid w:val="51002139"/>
    <w:rsid w:val="51387B25"/>
    <w:rsid w:val="517263D6"/>
    <w:rsid w:val="51744A4A"/>
    <w:rsid w:val="51782617"/>
    <w:rsid w:val="51907961"/>
    <w:rsid w:val="519A258E"/>
    <w:rsid w:val="51A61A69"/>
    <w:rsid w:val="51E25060"/>
    <w:rsid w:val="52120376"/>
    <w:rsid w:val="521D4F6D"/>
    <w:rsid w:val="521E31BF"/>
    <w:rsid w:val="52344790"/>
    <w:rsid w:val="52524C16"/>
    <w:rsid w:val="526D7CA2"/>
    <w:rsid w:val="528E1CA1"/>
    <w:rsid w:val="529F1C9E"/>
    <w:rsid w:val="52CB6777"/>
    <w:rsid w:val="52E54EC3"/>
    <w:rsid w:val="52FB705C"/>
    <w:rsid w:val="53170746"/>
    <w:rsid w:val="53545E55"/>
    <w:rsid w:val="535D7D17"/>
    <w:rsid w:val="536F35A6"/>
    <w:rsid w:val="538708F0"/>
    <w:rsid w:val="53982AFD"/>
    <w:rsid w:val="53A414A2"/>
    <w:rsid w:val="53B37937"/>
    <w:rsid w:val="53C26F1E"/>
    <w:rsid w:val="53CE651E"/>
    <w:rsid w:val="53D6676E"/>
    <w:rsid w:val="53EC109A"/>
    <w:rsid w:val="53F11286"/>
    <w:rsid w:val="5402266C"/>
    <w:rsid w:val="541A61D1"/>
    <w:rsid w:val="54352A41"/>
    <w:rsid w:val="544E765F"/>
    <w:rsid w:val="549E05E7"/>
    <w:rsid w:val="54A13E2A"/>
    <w:rsid w:val="54B41BB8"/>
    <w:rsid w:val="54B95421"/>
    <w:rsid w:val="54C7464B"/>
    <w:rsid w:val="54C85664"/>
    <w:rsid w:val="54D51B2F"/>
    <w:rsid w:val="54F55D2D"/>
    <w:rsid w:val="550F3292"/>
    <w:rsid w:val="55332212"/>
    <w:rsid w:val="553625CD"/>
    <w:rsid w:val="554E31BF"/>
    <w:rsid w:val="555C7B5A"/>
    <w:rsid w:val="55657C14"/>
    <w:rsid w:val="55684751"/>
    <w:rsid w:val="556F5ADF"/>
    <w:rsid w:val="55A41C2D"/>
    <w:rsid w:val="55A97243"/>
    <w:rsid w:val="56097CE2"/>
    <w:rsid w:val="561F7505"/>
    <w:rsid w:val="56312D95"/>
    <w:rsid w:val="56535401"/>
    <w:rsid w:val="566B274A"/>
    <w:rsid w:val="568D446F"/>
    <w:rsid w:val="569C2904"/>
    <w:rsid w:val="56A42C52"/>
    <w:rsid w:val="56A874FB"/>
    <w:rsid w:val="56BA722E"/>
    <w:rsid w:val="56C55160"/>
    <w:rsid w:val="56EF6ED8"/>
    <w:rsid w:val="56F73FDE"/>
    <w:rsid w:val="5707671E"/>
    <w:rsid w:val="57120E18"/>
    <w:rsid w:val="57222B83"/>
    <w:rsid w:val="5737087F"/>
    <w:rsid w:val="576569E2"/>
    <w:rsid w:val="57686C8A"/>
    <w:rsid w:val="57720FDC"/>
    <w:rsid w:val="578735B4"/>
    <w:rsid w:val="57C33EC0"/>
    <w:rsid w:val="57CC0FC7"/>
    <w:rsid w:val="57F347A6"/>
    <w:rsid w:val="580B072C"/>
    <w:rsid w:val="5870229A"/>
    <w:rsid w:val="58727DC0"/>
    <w:rsid w:val="58823D7B"/>
    <w:rsid w:val="58A14202"/>
    <w:rsid w:val="58A81A34"/>
    <w:rsid w:val="58AD7B14"/>
    <w:rsid w:val="58B959EF"/>
    <w:rsid w:val="58BA3515"/>
    <w:rsid w:val="58EF39A2"/>
    <w:rsid w:val="5906675A"/>
    <w:rsid w:val="59113C10"/>
    <w:rsid w:val="59253609"/>
    <w:rsid w:val="592B61C1"/>
    <w:rsid w:val="592F7A5F"/>
    <w:rsid w:val="59413C36"/>
    <w:rsid w:val="59561490"/>
    <w:rsid w:val="59771406"/>
    <w:rsid w:val="59875AED"/>
    <w:rsid w:val="598F04FE"/>
    <w:rsid w:val="59926240"/>
    <w:rsid w:val="59AA17DC"/>
    <w:rsid w:val="59B47F65"/>
    <w:rsid w:val="59B77A55"/>
    <w:rsid w:val="59B85CA7"/>
    <w:rsid w:val="59D61D59"/>
    <w:rsid w:val="59E70B83"/>
    <w:rsid w:val="59E711F8"/>
    <w:rsid w:val="5A276988"/>
    <w:rsid w:val="5A2C21F1"/>
    <w:rsid w:val="5A715C9D"/>
    <w:rsid w:val="5A7A11AE"/>
    <w:rsid w:val="5A7C1DA4"/>
    <w:rsid w:val="5A955FE8"/>
    <w:rsid w:val="5AB87F28"/>
    <w:rsid w:val="5AC24903"/>
    <w:rsid w:val="5ACE14FA"/>
    <w:rsid w:val="5ADC59C5"/>
    <w:rsid w:val="5AE900E2"/>
    <w:rsid w:val="5AF32C10"/>
    <w:rsid w:val="5AFD6893"/>
    <w:rsid w:val="5B092532"/>
    <w:rsid w:val="5B0D5B7E"/>
    <w:rsid w:val="5B3A093D"/>
    <w:rsid w:val="5B4B2B4A"/>
    <w:rsid w:val="5B8027F4"/>
    <w:rsid w:val="5B834919"/>
    <w:rsid w:val="5B923409"/>
    <w:rsid w:val="5BC326E1"/>
    <w:rsid w:val="5BD30E5A"/>
    <w:rsid w:val="5BF456A7"/>
    <w:rsid w:val="5C17056B"/>
    <w:rsid w:val="5C205D85"/>
    <w:rsid w:val="5C294C3A"/>
    <w:rsid w:val="5C341831"/>
    <w:rsid w:val="5C463473"/>
    <w:rsid w:val="5C5D2B35"/>
    <w:rsid w:val="5C7659A5"/>
    <w:rsid w:val="5C7D6D34"/>
    <w:rsid w:val="5C844566"/>
    <w:rsid w:val="5C871960"/>
    <w:rsid w:val="5C9148FE"/>
    <w:rsid w:val="5C9E4397"/>
    <w:rsid w:val="5CA711F8"/>
    <w:rsid w:val="5CAC586B"/>
    <w:rsid w:val="5CAE48F9"/>
    <w:rsid w:val="5CC91F79"/>
    <w:rsid w:val="5CD040E8"/>
    <w:rsid w:val="5CD66444"/>
    <w:rsid w:val="5CDD77D2"/>
    <w:rsid w:val="5CFD7E74"/>
    <w:rsid w:val="5D066D29"/>
    <w:rsid w:val="5D243A77"/>
    <w:rsid w:val="5D7719D5"/>
    <w:rsid w:val="5D7A7717"/>
    <w:rsid w:val="5DAF116F"/>
    <w:rsid w:val="5DCB1D21"/>
    <w:rsid w:val="5DE04E73"/>
    <w:rsid w:val="5E4915C3"/>
    <w:rsid w:val="5E6737F7"/>
    <w:rsid w:val="5E824AD5"/>
    <w:rsid w:val="5EC0115A"/>
    <w:rsid w:val="5EE16246"/>
    <w:rsid w:val="5F1A4D0E"/>
    <w:rsid w:val="5F41673E"/>
    <w:rsid w:val="5F557AF4"/>
    <w:rsid w:val="5F5875E4"/>
    <w:rsid w:val="5F5A2395"/>
    <w:rsid w:val="5F697A43"/>
    <w:rsid w:val="5F775CBC"/>
    <w:rsid w:val="5FA647F3"/>
    <w:rsid w:val="5FCF3D4A"/>
    <w:rsid w:val="5FE47271"/>
    <w:rsid w:val="60583D40"/>
    <w:rsid w:val="60695F4D"/>
    <w:rsid w:val="608508AD"/>
    <w:rsid w:val="60AE1157"/>
    <w:rsid w:val="60AF592A"/>
    <w:rsid w:val="60B92304"/>
    <w:rsid w:val="60D94755"/>
    <w:rsid w:val="60F04023"/>
    <w:rsid w:val="61077514"/>
    <w:rsid w:val="611539DF"/>
    <w:rsid w:val="61300818"/>
    <w:rsid w:val="614222FA"/>
    <w:rsid w:val="61483DB4"/>
    <w:rsid w:val="614E5143"/>
    <w:rsid w:val="6155027F"/>
    <w:rsid w:val="61572249"/>
    <w:rsid w:val="615755BD"/>
    <w:rsid w:val="6175447D"/>
    <w:rsid w:val="617A24C3"/>
    <w:rsid w:val="61840B64"/>
    <w:rsid w:val="61930DA7"/>
    <w:rsid w:val="619E1C26"/>
    <w:rsid w:val="61A42FB4"/>
    <w:rsid w:val="61AB60F1"/>
    <w:rsid w:val="61B76844"/>
    <w:rsid w:val="61C20AEC"/>
    <w:rsid w:val="61C3168D"/>
    <w:rsid w:val="61FE26C5"/>
    <w:rsid w:val="62141EE8"/>
    <w:rsid w:val="62165C60"/>
    <w:rsid w:val="621C0D9D"/>
    <w:rsid w:val="62226A5F"/>
    <w:rsid w:val="623E38D8"/>
    <w:rsid w:val="62634C1E"/>
    <w:rsid w:val="627961EF"/>
    <w:rsid w:val="62842E61"/>
    <w:rsid w:val="628E1C9B"/>
    <w:rsid w:val="62A0794C"/>
    <w:rsid w:val="62A50D92"/>
    <w:rsid w:val="62B86C57"/>
    <w:rsid w:val="62F12229"/>
    <w:rsid w:val="63316ACA"/>
    <w:rsid w:val="63367C3C"/>
    <w:rsid w:val="63977D34"/>
    <w:rsid w:val="639E415F"/>
    <w:rsid w:val="63A252D2"/>
    <w:rsid w:val="63A7039D"/>
    <w:rsid w:val="63BB7FC4"/>
    <w:rsid w:val="63FB3A00"/>
    <w:rsid w:val="641461CF"/>
    <w:rsid w:val="642503DD"/>
    <w:rsid w:val="6447583A"/>
    <w:rsid w:val="644C14E9"/>
    <w:rsid w:val="644F0FB6"/>
    <w:rsid w:val="648275DD"/>
    <w:rsid w:val="649D4417"/>
    <w:rsid w:val="64A44A44"/>
    <w:rsid w:val="64C4402E"/>
    <w:rsid w:val="64D140C0"/>
    <w:rsid w:val="64DC3A26"/>
    <w:rsid w:val="64DE67DD"/>
    <w:rsid w:val="64E060B2"/>
    <w:rsid w:val="64F13BAE"/>
    <w:rsid w:val="64F658D5"/>
    <w:rsid w:val="6502427A"/>
    <w:rsid w:val="650C334B"/>
    <w:rsid w:val="65204E5A"/>
    <w:rsid w:val="6525440C"/>
    <w:rsid w:val="65314B5F"/>
    <w:rsid w:val="654A5C21"/>
    <w:rsid w:val="654C7BEB"/>
    <w:rsid w:val="65515201"/>
    <w:rsid w:val="656D3445"/>
    <w:rsid w:val="65777EC4"/>
    <w:rsid w:val="65B05485"/>
    <w:rsid w:val="65B25CA0"/>
    <w:rsid w:val="65B32C85"/>
    <w:rsid w:val="65B37C6A"/>
    <w:rsid w:val="65E6071E"/>
    <w:rsid w:val="65E676F8"/>
    <w:rsid w:val="65EB2F60"/>
    <w:rsid w:val="660671BB"/>
    <w:rsid w:val="66291CDA"/>
    <w:rsid w:val="6663343E"/>
    <w:rsid w:val="66D14F9A"/>
    <w:rsid w:val="66D24120"/>
    <w:rsid w:val="670C7632"/>
    <w:rsid w:val="671958AB"/>
    <w:rsid w:val="67252CD4"/>
    <w:rsid w:val="672C7CD4"/>
    <w:rsid w:val="672E57FA"/>
    <w:rsid w:val="67311233"/>
    <w:rsid w:val="6732696D"/>
    <w:rsid w:val="674C3ED2"/>
    <w:rsid w:val="67580AC9"/>
    <w:rsid w:val="67801DCE"/>
    <w:rsid w:val="678D79C8"/>
    <w:rsid w:val="67A60BDB"/>
    <w:rsid w:val="67B24FE9"/>
    <w:rsid w:val="67D5211A"/>
    <w:rsid w:val="680256B8"/>
    <w:rsid w:val="68573C08"/>
    <w:rsid w:val="6860371C"/>
    <w:rsid w:val="688B4586"/>
    <w:rsid w:val="6894168D"/>
    <w:rsid w:val="68D45F2D"/>
    <w:rsid w:val="68DB3760"/>
    <w:rsid w:val="68E573FF"/>
    <w:rsid w:val="69270753"/>
    <w:rsid w:val="693C4BE9"/>
    <w:rsid w:val="69583F61"/>
    <w:rsid w:val="69845BA5"/>
    <w:rsid w:val="699F29DF"/>
    <w:rsid w:val="69A41DA4"/>
    <w:rsid w:val="69A973BA"/>
    <w:rsid w:val="69C45FA2"/>
    <w:rsid w:val="6A252E39"/>
    <w:rsid w:val="6A2809D3"/>
    <w:rsid w:val="6A527A52"/>
    <w:rsid w:val="6A585B4A"/>
    <w:rsid w:val="6A5F3F1C"/>
    <w:rsid w:val="6A7259FE"/>
    <w:rsid w:val="6A7A2B04"/>
    <w:rsid w:val="6A810E21"/>
    <w:rsid w:val="6AA933EA"/>
    <w:rsid w:val="6AAA163C"/>
    <w:rsid w:val="6AB06526"/>
    <w:rsid w:val="6AC27EAE"/>
    <w:rsid w:val="6AD14E1A"/>
    <w:rsid w:val="6AFB5BA3"/>
    <w:rsid w:val="6B036F9E"/>
    <w:rsid w:val="6B040620"/>
    <w:rsid w:val="6B144A6A"/>
    <w:rsid w:val="6B1B7E43"/>
    <w:rsid w:val="6B2457CA"/>
    <w:rsid w:val="6B376C47"/>
    <w:rsid w:val="6B380692"/>
    <w:rsid w:val="6B560E7C"/>
    <w:rsid w:val="6B5E41D4"/>
    <w:rsid w:val="6B712159"/>
    <w:rsid w:val="6B833C3B"/>
    <w:rsid w:val="6BB107A8"/>
    <w:rsid w:val="6BC009EB"/>
    <w:rsid w:val="6BFF7765"/>
    <w:rsid w:val="6C007039"/>
    <w:rsid w:val="6C317875"/>
    <w:rsid w:val="6C557385"/>
    <w:rsid w:val="6C67530A"/>
    <w:rsid w:val="6C711CE5"/>
    <w:rsid w:val="6C7F3298"/>
    <w:rsid w:val="6C953C26"/>
    <w:rsid w:val="6C9F4AA4"/>
    <w:rsid w:val="6CF52916"/>
    <w:rsid w:val="6D06067F"/>
    <w:rsid w:val="6D1C66E8"/>
    <w:rsid w:val="6D1E1E6D"/>
    <w:rsid w:val="6D21195D"/>
    <w:rsid w:val="6D3671B7"/>
    <w:rsid w:val="6D691223"/>
    <w:rsid w:val="6D7101EF"/>
    <w:rsid w:val="6D9739CD"/>
    <w:rsid w:val="6DA32372"/>
    <w:rsid w:val="6DA53394"/>
    <w:rsid w:val="6DAA37B5"/>
    <w:rsid w:val="6DBF657D"/>
    <w:rsid w:val="6DD4449B"/>
    <w:rsid w:val="6E290AC9"/>
    <w:rsid w:val="6E8C2E06"/>
    <w:rsid w:val="6EB05630"/>
    <w:rsid w:val="6EB5235D"/>
    <w:rsid w:val="6EED1FF5"/>
    <w:rsid w:val="6EED5F9B"/>
    <w:rsid w:val="6F086931"/>
    <w:rsid w:val="6F2614AD"/>
    <w:rsid w:val="6F3E05A4"/>
    <w:rsid w:val="6F9603E0"/>
    <w:rsid w:val="6FA7439C"/>
    <w:rsid w:val="6FAF3250"/>
    <w:rsid w:val="6FBB4455"/>
    <w:rsid w:val="6FCF744E"/>
    <w:rsid w:val="6FD9207B"/>
    <w:rsid w:val="6FEA072C"/>
    <w:rsid w:val="6FEE2B5C"/>
    <w:rsid w:val="70310065"/>
    <w:rsid w:val="705A19BC"/>
    <w:rsid w:val="70785D38"/>
    <w:rsid w:val="70860242"/>
    <w:rsid w:val="70C1148D"/>
    <w:rsid w:val="70E84C6C"/>
    <w:rsid w:val="70F64EEA"/>
    <w:rsid w:val="70FF3D63"/>
    <w:rsid w:val="71105F71"/>
    <w:rsid w:val="711B78B6"/>
    <w:rsid w:val="7121017E"/>
    <w:rsid w:val="712F423E"/>
    <w:rsid w:val="712F4B55"/>
    <w:rsid w:val="7137174F"/>
    <w:rsid w:val="713779A1"/>
    <w:rsid w:val="717A56C5"/>
    <w:rsid w:val="719A3A8C"/>
    <w:rsid w:val="71B27028"/>
    <w:rsid w:val="71B66B18"/>
    <w:rsid w:val="71BE0642"/>
    <w:rsid w:val="71C109CF"/>
    <w:rsid w:val="71C50B09"/>
    <w:rsid w:val="71E05943"/>
    <w:rsid w:val="71E21F50"/>
    <w:rsid w:val="71EC42E8"/>
    <w:rsid w:val="71EF3DD8"/>
    <w:rsid w:val="72032534"/>
    <w:rsid w:val="72161365"/>
    <w:rsid w:val="721D26F3"/>
    <w:rsid w:val="727A7B45"/>
    <w:rsid w:val="72972FDB"/>
    <w:rsid w:val="72BA6194"/>
    <w:rsid w:val="72BB3CBA"/>
    <w:rsid w:val="72ED672C"/>
    <w:rsid w:val="72F50648"/>
    <w:rsid w:val="73010267"/>
    <w:rsid w:val="73240D7C"/>
    <w:rsid w:val="73267CCD"/>
    <w:rsid w:val="732C6966"/>
    <w:rsid w:val="73441F01"/>
    <w:rsid w:val="737722D7"/>
    <w:rsid w:val="73E334C8"/>
    <w:rsid w:val="73EB05CF"/>
    <w:rsid w:val="73FC0A2E"/>
    <w:rsid w:val="73FE786D"/>
    <w:rsid w:val="743957DE"/>
    <w:rsid w:val="746C7BF2"/>
    <w:rsid w:val="74861898"/>
    <w:rsid w:val="749869A9"/>
    <w:rsid w:val="749C34D3"/>
    <w:rsid w:val="749E5641"/>
    <w:rsid w:val="74AC4202"/>
    <w:rsid w:val="74AC5FB0"/>
    <w:rsid w:val="74DA0D6F"/>
    <w:rsid w:val="74DC0F51"/>
    <w:rsid w:val="74F31E31"/>
    <w:rsid w:val="750E79AD"/>
    <w:rsid w:val="75271ADB"/>
    <w:rsid w:val="75297256"/>
    <w:rsid w:val="752B5127"/>
    <w:rsid w:val="755503F6"/>
    <w:rsid w:val="7564688B"/>
    <w:rsid w:val="758B0D5E"/>
    <w:rsid w:val="75976C60"/>
    <w:rsid w:val="75E4177A"/>
    <w:rsid w:val="75E841DD"/>
    <w:rsid w:val="75E874BC"/>
    <w:rsid w:val="75F55735"/>
    <w:rsid w:val="760342F6"/>
    <w:rsid w:val="761B33ED"/>
    <w:rsid w:val="766F7295"/>
    <w:rsid w:val="76742A2F"/>
    <w:rsid w:val="767C19B2"/>
    <w:rsid w:val="76991D85"/>
    <w:rsid w:val="76B455F0"/>
    <w:rsid w:val="76DF4909"/>
    <w:rsid w:val="76E97048"/>
    <w:rsid w:val="76F93003"/>
    <w:rsid w:val="771340C5"/>
    <w:rsid w:val="7725204A"/>
    <w:rsid w:val="77277B70"/>
    <w:rsid w:val="77B04009"/>
    <w:rsid w:val="77C33D3D"/>
    <w:rsid w:val="77D9530E"/>
    <w:rsid w:val="77DA4BE2"/>
    <w:rsid w:val="77E93077"/>
    <w:rsid w:val="77EE068E"/>
    <w:rsid w:val="77F57C6E"/>
    <w:rsid w:val="78174088"/>
    <w:rsid w:val="785B21C7"/>
    <w:rsid w:val="78670B6C"/>
    <w:rsid w:val="78727511"/>
    <w:rsid w:val="78961451"/>
    <w:rsid w:val="78E73A5B"/>
    <w:rsid w:val="78FD327E"/>
    <w:rsid w:val="79181E66"/>
    <w:rsid w:val="792B67B7"/>
    <w:rsid w:val="792B7DEB"/>
    <w:rsid w:val="793D18CD"/>
    <w:rsid w:val="797057FE"/>
    <w:rsid w:val="79815C5D"/>
    <w:rsid w:val="7984236C"/>
    <w:rsid w:val="798C63B0"/>
    <w:rsid w:val="799E680F"/>
    <w:rsid w:val="79B06543"/>
    <w:rsid w:val="79D939F5"/>
    <w:rsid w:val="79F44681"/>
    <w:rsid w:val="79F521A7"/>
    <w:rsid w:val="7A04600D"/>
    <w:rsid w:val="7A0D129F"/>
    <w:rsid w:val="7A13262E"/>
    <w:rsid w:val="7A3525A4"/>
    <w:rsid w:val="7A41719B"/>
    <w:rsid w:val="7A4E2A78"/>
    <w:rsid w:val="7A8157E9"/>
    <w:rsid w:val="7A8D23E0"/>
    <w:rsid w:val="7A9E639B"/>
    <w:rsid w:val="7AC8166A"/>
    <w:rsid w:val="7ADA3BA0"/>
    <w:rsid w:val="7AEE7323"/>
    <w:rsid w:val="7B002BB2"/>
    <w:rsid w:val="7B136D89"/>
    <w:rsid w:val="7B4038F6"/>
    <w:rsid w:val="7B4909FD"/>
    <w:rsid w:val="7B4E03F5"/>
    <w:rsid w:val="7B4E6013"/>
    <w:rsid w:val="7B9F686F"/>
    <w:rsid w:val="7BA94FF8"/>
    <w:rsid w:val="7BAB6FC2"/>
    <w:rsid w:val="7BBC11CF"/>
    <w:rsid w:val="7BD1454E"/>
    <w:rsid w:val="7BD302C6"/>
    <w:rsid w:val="7BE252E1"/>
    <w:rsid w:val="7BE473F9"/>
    <w:rsid w:val="7BED295D"/>
    <w:rsid w:val="7BF02C26"/>
    <w:rsid w:val="7C06069C"/>
    <w:rsid w:val="7C3A6597"/>
    <w:rsid w:val="7C9061B7"/>
    <w:rsid w:val="7C9932BE"/>
    <w:rsid w:val="7CA773FF"/>
    <w:rsid w:val="7CDC13FD"/>
    <w:rsid w:val="7CF90201"/>
    <w:rsid w:val="7D0F4AD7"/>
    <w:rsid w:val="7D2E7EAA"/>
    <w:rsid w:val="7D5947FB"/>
    <w:rsid w:val="7D661F34"/>
    <w:rsid w:val="7D6E64F9"/>
    <w:rsid w:val="7D7004C3"/>
    <w:rsid w:val="7D965A4F"/>
    <w:rsid w:val="7D983576"/>
    <w:rsid w:val="7D9F4904"/>
    <w:rsid w:val="7DB12040"/>
    <w:rsid w:val="7DB83C18"/>
    <w:rsid w:val="7DB87774"/>
    <w:rsid w:val="7DC9285E"/>
    <w:rsid w:val="7DE06CCB"/>
    <w:rsid w:val="7DFC1D56"/>
    <w:rsid w:val="7E2117BD"/>
    <w:rsid w:val="7E254463"/>
    <w:rsid w:val="7E3E236F"/>
    <w:rsid w:val="7E4B683A"/>
    <w:rsid w:val="7E61605D"/>
    <w:rsid w:val="7E6B79EA"/>
    <w:rsid w:val="7E6E2528"/>
    <w:rsid w:val="7E706B85"/>
    <w:rsid w:val="7E725B75"/>
    <w:rsid w:val="7E841197"/>
    <w:rsid w:val="7E9755DB"/>
    <w:rsid w:val="7EA45F4A"/>
    <w:rsid w:val="7EC64112"/>
    <w:rsid w:val="7ECB1729"/>
    <w:rsid w:val="7ED44A81"/>
    <w:rsid w:val="7ED93E46"/>
    <w:rsid w:val="7EE10AC2"/>
    <w:rsid w:val="7EEA5542"/>
    <w:rsid w:val="7EF667A6"/>
    <w:rsid w:val="7F231565"/>
    <w:rsid w:val="7F6C2F0C"/>
    <w:rsid w:val="7F791E0A"/>
    <w:rsid w:val="7FA44454"/>
    <w:rsid w:val="7FC70142"/>
    <w:rsid w:val="7FE40CF7"/>
    <w:rsid w:val="7FF11F9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7"/>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8"/>
    <w:autoRedefine/>
    <w:unhideWhenUsed/>
    <w:qFormat/>
    <w:uiPriority w:val="0"/>
    <w:pPr>
      <w:keepNext/>
      <w:keepLines/>
      <w:spacing w:before="260" w:after="260" w:line="413" w:lineRule="auto"/>
      <w:outlineLvl w:val="1"/>
    </w:pPr>
    <w:rPr>
      <w:rFonts w:ascii="Arial" w:hAnsi="Arial" w:eastAsia="黑体" w:cs="Times New Roman"/>
      <w:b/>
      <w:sz w:val="32"/>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9"/>
    <w:unhideWhenUsed/>
    <w:qFormat/>
    <w:uiPriority w:val="0"/>
    <w:pPr>
      <w:jc w:val="left"/>
    </w:pPr>
  </w:style>
  <w:style w:type="paragraph" w:styleId="5">
    <w:name w:val="Date"/>
    <w:basedOn w:val="1"/>
    <w:next w:val="1"/>
    <w:link w:val="27"/>
    <w:semiHidden/>
    <w:unhideWhenUsed/>
    <w:qFormat/>
    <w:uiPriority w:val="99"/>
    <w:pPr>
      <w:ind w:left="100" w:leftChars="2500"/>
    </w:pPr>
  </w:style>
  <w:style w:type="paragraph" w:styleId="6">
    <w:name w:val="Balloon Text"/>
    <w:basedOn w:val="1"/>
    <w:link w:val="21"/>
    <w:semiHidden/>
    <w:unhideWhenUsed/>
    <w:qFormat/>
    <w:uiPriority w:val="99"/>
    <w:rPr>
      <w:sz w:val="18"/>
      <w:szCs w:val="18"/>
    </w:rPr>
  </w:style>
  <w:style w:type="paragraph" w:styleId="7">
    <w:name w:val="footer"/>
    <w:basedOn w:val="1"/>
    <w:link w:val="24"/>
    <w:unhideWhenUsed/>
    <w:qFormat/>
    <w:uiPriority w:val="0"/>
    <w:pPr>
      <w:tabs>
        <w:tab w:val="center" w:pos="4153"/>
        <w:tab w:val="right" w:pos="8306"/>
      </w:tabs>
      <w:snapToGrid w:val="0"/>
      <w:jc w:val="left"/>
    </w:pPr>
    <w:rPr>
      <w:sz w:val="18"/>
      <w:szCs w:val="18"/>
    </w:rPr>
  </w:style>
  <w:style w:type="paragraph" w:styleId="8">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4"/>
    <w:next w:val="4"/>
    <w:link w:val="20"/>
    <w:unhideWhenUsed/>
    <w:qFormat/>
    <w:uiPriority w:val="0"/>
    <w:rPr>
      <w:b/>
      <w:bCs/>
    </w:rPr>
  </w:style>
  <w:style w:type="table" w:styleId="12">
    <w:name w:val="Table Grid"/>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autoRedefine/>
    <w:qFormat/>
    <w:uiPriority w:val="0"/>
    <w:rPr>
      <w:color w:val="0000FF"/>
      <w:u w:val="single"/>
    </w:rPr>
  </w:style>
  <w:style w:type="character" w:styleId="15">
    <w:name w:val="annotation reference"/>
    <w:basedOn w:val="13"/>
    <w:unhideWhenUsed/>
    <w:qFormat/>
    <w:uiPriority w:val="0"/>
    <w:rPr>
      <w:sz w:val="21"/>
      <w:szCs w:val="21"/>
    </w:rPr>
  </w:style>
  <w:style w:type="character" w:styleId="16">
    <w:name w:val="footnote reference"/>
    <w:autoRedefine/>
    <w:qFormat/>
    <w:uiPriority w:val="0"/>
    <w:rPr>
      <w:vertAlign w:val="superscript"/>
    </w:rPr>
  </w:style>
  <w:style w:type="character" w:customStyle="1" w:styleId="17">
    <w:name w:val="标题 1 字符"/>
    <w:basedOn w:val="13"/>
    <w:link w:val="2"/>
    <w:qFormat/>
    <w:uiPriority w:val="9"/>
    <w:rPr>
      <w:rFonts w:ascii="宋体" w:hAnsi="宋体" w:eastAsia="宋体" w:cs="宋体"/>
      <w:b/>
      <w:bCs/>
      <w:kern w:val="36"/>
      <w:sz w:val="48"/>
      <w:szCs w:val="48"/>
    </w:rPr>
  </w:style>
  <w:style w:type="character" w:customStyle="1" w:styleId="18">
    <w:name w:val="标题 2 字符"/>
    <w:basedOn w:val="13"/>
    <w:link w:val="3"/>
    <w:qFormat/>
    <w:uiPriority w:val="0"/>
    <w:rPr>
      <w:rFonts w:ascii="Arial" w:hAnsi="Arial" w:eastAsia="黑体" w:cs="Times New Roman"/>
      <w:b/>
      <w:sz w:val="32"/>
      <w:szCs w:val="24"/>
    </w:rPr>
  </w:style>
  <w:style w:type="character" w:customStyle="1" w:styleId="19">
    <w:name w:val="批注文字 字符"/>
    <w:basedOn w:val="13"/>
    <w:link w:val="4"/>
    <w:qFormat/>
    <w:uiPriority w:val="0"/>
  </w:style>
  <w:style w:type="character" w:customStyle="1" w:styleId="20">
    <w:name w:val="批注主题 字符"/>
    <w:basedOn w:val="19"/>
    <w:link w:val="10"/>
    <w:qFormat/>
    <w:uiPriority w:val="0"/>
    <w:rPr>
      <w:b/>
      <w:bCs/>
    </w:rPr>
  </w:style>
  <w:style w:type="character" w:customStyle="1" w:styleId="21">
    <w:name w:val="批注框文本 字符"/>
    <w:basedOn w:val="13"/>
    <w:link w:val="6"/>
    <w:semiHidden/>
    <w:qFormat/>
    <w:uiPriority w:val="99"/>
    <w:rPr>
      <w:sz w:val="18"/>
      <w:szCs w:val="18"/>
    </w:rPr>
  </w:style>
  <w:style w:type="paragraph" w:customStyle="1" w:styleId="22">
    <w:name w:val="moe-policy-wenhao"/>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
    <w:name w:val="页眉 字符"/>
    <w:basedOn w:val="13"/>
    <w:link w:val="8"/>
    <w:qFormat/>
    <w:uiPriority w:val="0"/>
    <w:rPr>
      <w:sz w:val="18"/>
      <w:szCs w:val="18"/>
    </w:rPr>
  </w:style>
  <w:style w:type="character" w:customStyle="1" w:styleId="24">
    <w:name w:val="页脚 字符"/>
    <w:basedOn w:val="13"/>
    <w:link w:val="7"/>
    <w:qFormat/>
    <w:uiPriority w:val="0"/>
    <w:rPr>
      <w:sz w:val="18"/>
      <w:szCs w:val="18"/>
    </w:rPr>
  </w:style>
  <w:style w:type="paragraph" w:styleId="25">
    <w:name w:val="List Paragraph"/>
    <w:basedOn w:val="1"/>
    <w:qFormat/>
    <w:uiPriority w:val="34"/>
    <w:pPr>
      <w:ind w:firstLine="420" w:firstLineChars="200"/>
    </w:pPr>
  </w:style>
  <w:style w:type="character" w:customStyle="1" w:styleId="26">
    <w:name w:val="A8"/>
    <w:autoRedefine/>
    <w:qFormat/>
    <w:uiPriority w:val="99"/>
    <w:rPr>
      <w:rFonts w:cs="方正书宋"/>
      <w:color w:val="000000"/>
      <w:sz w:val="14"/>
      <w:szCs w:val="14"/>
    </w:rPr>
  </w:style>
  <w:style w:type="character" w:customStyle="1" w:styleId="27">
    <w:name w:val="日期 字符"/>
    <w:basedOn w:val="13"/>
    <w:link w:val="5"/>
    <w:semiHidden/>
    <w:qFormat/>
    <w:uiPriority w:val="99"/>
  </w:style>
  <w:style w:type="paragraph" w:customStyle="1" w:styleId="28">
    <w:name w:val="paragraph"/>
    <w:basedOn w:val="1"/>
    <w:semiHidden/>
    <w:qFormat/>
    <w:uiPriority w:val="0"/>
    <w:pPr>
      <w:widowControl/>
      <w:spacing w:before="100" w:beforeAutospacing="1" w:after="100" w:afterAutospacing="1"/>
      <w:jc w:val="left"/>
    </w:pPr>
    <w:rPr>
      <w:rFonts w:ascii="等线" w:hAnsi="等线" w:eastAsia="等线"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12649</Words>
  <Characters>12830</Characters>
  <Lines>255</Lines>
  <Paragraphs>71</Paragraphs>
  <TotalTime>0</TotalTime>
  <ScaleCrop>false</ScaleCrop>
  <LinksUpToDate>false</LinksUpToDate>
  <CharactersWithSpaces>12917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2024-12-18T04:05:00Z</dcterms:created>
  <dc:creator>DXW</dc:creator>
  <cp:lastModifiedBy>admin</cp:lastModifiedBy>
  <cp:lastPrinted>2024-12-18T02:38:00Z</cp:lastPrinted>
  <dcterms:modified xsi:type="dcterms:W3CDTF">2024-12-18T16:28:46Z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eyJoZGlkIjoiZjcyMGQ2NWZhYTg2NWJiMWUxMmNhYTYwM2VjNjE0YjkiLCJ1c2VySWQiOiI2MDAxMjU0NTkifQ==</vt:lpwstr>
  </property>
  <property fmtid="{D5CDD505-2E9C-101B-9397-08002B2CF9AE}" pid="3" name="KSOProductBuildVer">
    <vt:lpwstr>2052-12.1.0.19302</vt:lpwstr>
  </property>
  <property fmtid="{D5CDD505-2E9C-101B-9397-08002B2CF9AE}" pid="4" name="ICV">
    <vt:lpwstr>37CF16B6BC764760A7E1CE75FF003290_12</vt:lpwstr>
  </property>
</Properties>
</file>