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51B26">
      <w:pPr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  <w:u w:val="single"/>
        </w:rPr>
        <w:t xml:space="preserve">     </w:t>
      </w:r>
      <w:r>
        <w:rPr>
          <w:rFonts w:hint="eastAsia" w:ascii="微软雅黑" w:hAnsi="微软雅黑" w:eastAsia="微软雅黑"/>
          <w:b/>
          <w:sz w:val="32"/>
          <w:szCs w:val="32"/>
          <w:u w:val="single"/>
          <w:lang w:val="en-US" w:eastAsia="zh-CN"/>
        </w:rPr>
        <w:t>2024-2025</w:t>
      </w:r>
      <w:r>
        <w:rPr>
          <w:rFonts w:ascii="微软雅黑" w:hAnsi="微软雅黑" w:eastAsia="微软雅黑"/>
          <w:b/>
          <w:sz w:val="32"/>
          <w:szCs w:val="32"/>
          <w:u w:val="single"/>
        </w:rPr>
        <w:t xml:space="preserve">  </w:t>
      </w:r>
      <w:r>
        <w:rPr>
          <w:rFonts w:hint="eastAsia" w:ascii="微软雅黑" w:hAnsi="微软雅黑" w:eastAsia="微软雅黑"/>
          <w:b/>
          <w:sz w:val="32"/>
          <w:szCs w:val="32"/>
        </w:rPr>
        <w:t>年度常州市新北区</w:t>
      </w: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卓越</w:t>
      </w:r>
      <w:r>
        <w:rPr>
          <w:rFonts w:hint="eastAsia" w:ascii="微软雅黑" w:hAnsi="微软雅黑" w:eastAsia="微软雅黑"/>
          <w:b/>
          <w:sz w:val="32"/>
          <w:szCs w:val="32"/>
        </w:rPr>
        <w:t>教师成长营</w:t>
      </w: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中期</w:t>
      </w:r>
      <w:r>
        <w:rPr>
          <w:rFonts w:hint="eastAsia" w:ascii="微软雅黑" w:hAnsi="微软雅黑" w:eastAsia="微软雅黑"/>
          <w:b/>
          <w:sz w:val="32"/>
          <w:szCs w:val="32"/>
        </w:rPr>
        <w:t>考核评价表</w:t>
      </w:r>
    </w:p>
    <w:p w14:paraId="55AACD37">
      <w:pPr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成长营名称：</w:t>
      </w:r>
      <w:r>
        <w:rPr>
          <w:rFonts w:hint="eastAsia" w:ascii="微软雅黑" w:hAnsi="微软雅黑" w:eastAsia="微软雅黑"/>
          <w:b/>
          <w:szCs w:val="21"/>
          <w:u w:val="single"/>
        </w:rPr>
        <w:t>__</w:t>
      </w:r>
      <w:r>
        <w:rPr>
          <w:rFonts w:hint="eastAsia" w:ascii="微软雅黑" w:hAnsi="微软雅黑" w:eastAsia="微软雅黑"/>
          <w:b/>
          <w:szCs w:val="21"/>
          <w:u w:val="single"/>
          <w:lang w:val="en-US" w:eastAsia="zh-CN"/>
        </w:rPr>
        <w:t>钱丽娟卓越教师成长营</w:t>
      </w:r>
      <w:r>
        <w:rPr>
          <w:rFonts w:hint="eastAsia" w:ascii="微软雅黑" w:hAnsi="微软雅黑" w:eastAsia="微软雅黑"/>
          <w:b/>
          <w:szCs w:val="21"/>
          <w:u w:val="single"/>
        </w:rPr>
        <w:t xml:space="preserve">___ </w:t>
      </w:r>
      <w:r>
        <w:rPr>
          <w:rFonts w:hint="eastAsia" w:ascii="微软雅黑" w:hAnsi="微软雅黑" w:eastAsia="微软雅黑"/>
          <w:b/>
          <w:szCs w:val="21"/>
        </w:rPr>
        <w:t xml:space="preserve">                                                                   时间：__</w:t>
      </w:r>
      <w:r>
        <w:rPr>
          <w:rFonts w:hint="eastAsia" w:ascii="微软雅黑" w:hAnsi="微软雅黑" w:eastAsia="微软雅黑"/>
          <w:b/>
          <w:szCs w:val="21"/>
          <w:u w:val="single"/>
          <w:lang w:val="en-US" w:eastAsia="zh-CN"/>
        </w:rPr>
        <w:t>2025.03</w:t>
      </w:r>
      <w:r>
        <w:rPr>
          <w:rFonts w:hint="eastAsia" w:ascii="微软雅黑" w:hAnsi="微软雅黑" w:eastAsia="微软雅黑"/>
          <w:b/>
          <w:szCs w:val="21"/>
          <w:u w:val="single"/>
        </w:rPr>
        <w:t>_</w:t>
      </w:r>
      <w:r>
        <w:rPr>
          <w:rFonts w:hint="eastAsia" w:ascii="微软雅黑" w:hAnsi="微软雅黑" w:eastAsia="微软雅黑"/>
          <w:b/>
          <w:szCs w:val="21"/>
        </w:rPr>
        <w:t>___</w:t>
      </w:r>
    </w:p>
    <w:tbl>
      <w:tblPr>
        <w:tblStyle w:val="5"/>
        <w:tblW w:w="139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4888"/>
        <w:gridCol w:w="709"/>
        <w:gridCol w:w="1542"/>
        <w:gridCol w:w="3438"/>
        <w:gridCol w:w="1063"/>
        <w:gridCol w:w="1172"/>
      </w:tblGrid>
      <w:tr w14:paraId="295CC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74" w:type="dxa"/>
            <w:vAlign w:val="center"/>
          </w:tcPr>
          <w:p w14:paraId="61FC8B9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评价指标</w:t>
            </w:r>
          </w:p>
        </w:tc>
        <w:tc>
          <w:tcPr>
            <w:tcW w:w="4888" w:type="dxa"/>
            <w:vAlign w:val="center"/>
          </w:tcPr>
          <w:p w14:paraId="62741AA3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评价内容</w:t>
            </w:r>
          </w:p>
        </w:tc>
        <w:tc>
          <w:tcPr>
            <w:tcW w:w="709" w:type="dxa"/>
            <w:vAlign w:val="center"/>
          </w:tcPr>
          <w:p w14:paraId="0FD2FF81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分值</w:t>
            </w:r>
          </w:p>
        </w:tc>
        <w:tc>
          <w:tcPr>
            <w:tcW w:w="1542" w:type="dxa"/>
            <w:vAlign w:val="center"/>
          </w:tcPr>
          <w:p w14:paraId="50A118A4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评价方式</w:t>
            </w:r>
          </w:p>
        </w:tc>
        <w:tc>
          <w:tcPr>
            <w:tcW w:w="3438" w:type="dxa"/>
            <w:vAlign w:val="center"/>
          </w:tcPr>
          <w:p w14:paraId="3F6D86CB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自评概述</w:t>
            </w:r>
          </w:p>
        </w:tc>
        <w:tc>
          <w:tcPr>
            <w:tcW w:w="1063" w:type="dxa"/>
            <w:vAlign w:val="center"/>
          </w:tcPr>
          <w:p w14:paraId="2AACC1F2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自评得分</w:t>
            </w:r>
          </w:p>
        </w:tc>
        <w:tc>
          <w:tcPr>
            <w:tcW w:w="1172" w:type="dxa"/>
            <w:vAlign w:val="center"/>
          </w:tcPr>
          <w:p w14:paraId="12D673A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考核得分</w:t>
            </w:r>
          </w:p>
        </w:tc>
      </w:tr>
      <w:tr w14:paraId="5F631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174" w:type="dxa"/>
            <w:vMerge w:val="restart"/>
            <w:vAlign w:val="center"/>
          </w:tcPr>
          <w:p w14:paraId="7284FCE5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A1</w:t>
            </w:r>
          </w:p>
          <w:p w14:paraId="2208E481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基础性指标</w:t>
            </w:r>
          </w:p>
        </w:tc>
        <w:tc>
          <w:tcPr>
            <w:tcW w:w="4888" w:type="dxa"/>
            <w:vAlign w:val="center"/>
          </w:tcPr>
          <w:p w14:paraId="6B12C720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B1成长营建设规范。工作实施方案、活动开展过程性资料、阶段总结等完整。</w:t>
            </w:r>
          </w:p>
        </w:tc>
        <w:tc>
          <w:tcPr>
            <w:tcW w:w="709" w:type="dxa"/>
            <w:vAlign w:val="center"/>
          </w:tcPr>
          <w:p w14:paraId="278809CC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10</w:t>
            </w:r>
          </w:p>
        </w:tc>
        <w:tc>
          <w:tcPr>
            <w:tcW w:w="1542" w:type="dxa"/>
            <w:vAlign w:val="center"/>
          </w:tcPr>
          <w:p w14:paraId="3DC80CB2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查阅网页</w:t>
            </w:r>
          </w:p>
        </w:tc>
        <w:tc>
          <w:tcPr>
            <w:tcW w:w="3438" w:type="dxa"/>
            <w:vAlign w:val="center"/>
          </w:tcPr>
          <w:p w14:paraId="450212E8">
            <w:pPr>
              <w:jc w:val="lef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本成长营建设规范，有活动通知、活动报道、活动微信，每年有阶段总结。</w:t>
            </w:r>
          </w:p>
        </w:tc>
        <w:tc>
          <w:tcPr>
            <w:tcW w:w="1063" w:type="dxa"/>
            <w:vAlign w:val="center"/>
          </w:tcPr>
          <w:p w14:paraId="081E0DC5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</w:t>
            </w:r>
          </w:p>
        </w:tc>
        <w:tc>
          <w:tcPr>
            <w:tcW w:w="1172" w:type="dxa"/>
            <w:vAlign w:val="center"/>
          </w:tcPr>
          <w:p w14:paraId="06C3A316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11B4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174" w:type="dxa"/>
            <w:vMerge w:val="continue"/>
            <w:vAlign w:val="center"/>
          </w:tcPr>
          <w:p w14:paraId="4744802B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888" w:type="dxa"/>
            <w:vAlign w:val="center"/>
          </w:tcPr>
          <w:p w14:paraId="784BDBE0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B2内部管理完善。成员考勤记录完整、档案信息齐全规范，领衔人及助理工作职责明确，经费使用严格执行财务制度。</w:t>
            </w:r>
          </w:p>
        </w:tc>
        <w:tc>
          <w:tcPr>
            <w:tcW w:w="709" w:type="dxa"/>
            <w:vAlign w:val="center"/>
          </w:tcPr>
          <w:p w14:paraId="41718A4D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10</w:t>
            </w:r>
          </w:p>
        </w:tc>
        <w:tc>
          <w:tcPr>
            <w:tcW w:w="1542" w:type="dxa"/>
            <w:vAlign w:val="center"/>
          </w:tcPr>
          <w:p w14:paraId="11247D54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查阅网页</w:t>
            </w:r>
          </w:p>
        </w:tc>
        <w:tc>
          <w:tcPr>
            <w:tcW w:w="3438" w:type="dxa"/>
            <w:vAlign w:val="center"/>
          </w:tcPr>
          <w:p w14:paraId="594BEC91">
            <w:pPr>
              <w:jc w:val="lef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本成长营成员分工明确，内部管理制度完善，成员活动签到，档案信息齐全。</w:t>
            </w:r>
          </w:p>
        </w:tc>
        <w:tc>
          <w:tcPr>
            <w:tcW w:w="1063" w:type="dxa"/>
            <w:vAlign w:val="center"/>
          </w:tcPr>
          <w:p w14:paraId="438D6B50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</w:t>
            </w:r>
          </w:p>
        </w:tc>
        <w:tc>
          <w:tcPr>
            <w:tcW w:w="1172" w:type="dxa"/>
            <w:vAlign w:val="center"/>
          </w:tcPr>
          <w:p w14:paraId="0AAB86CC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21A1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174" w:type="dxa"/>
            <w:vMerge w:val="continue"/>
            <w:vAlign w:val="center"/>
          </w:tcPr>
          <w:p w14:paraId="4D2B960E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888" w:type="dxa"/>
            <w:vAlign w:val="center"/>
          </w:tcPr>
          <w:p w14:paraId="45137D10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B3成长营活动有序。集中研修活动不少于1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>天（80学时），活动内容丰富，活动方式多元。</w:t>
            </w:r>
          </w:p>
        </w:tc>
        <w:tc>
          <w:tcPr>
            <w:tcW w:w="709" w:type="dxa"/>
            <w:vAlign w:val="center"/>
          </w:tcPr>
          <w:p w14:paraId="7CBA14FB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40</w:t>
            </w:r>
          </w:p>
        </w:tc>
        <w:tc>
          <w:tcPr>
            <w:tcW w:w="1542" w:type="dxa"/>
            <w:vAlign w:val="center"/>
          </w:tcPr>
          <w:p w14:paraId="0BE9DA88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查阅网页</w:t>
            </w:r>
          </w:p>
        </w:tc>
        <w:tc>
          <w:tcPr>
            <w:tcW w:w="3438" w:type="dxa"/>
            <w:vAlign w:val="center"/>
          </w:tcPr>
          <w:p w14:paraId="346C2E1F">
            <w:pPr>
              <w:jc w:val="lef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成员活动有序进行，线上读书分享，线下研讨认真，不仅有课堂实践、还有参观交流学习。</w:t>
            </w:r>
          </w:p>
        </w:tc>
        <w:tc>
          <w:tcPr>
            <w:tcW w:w="1063" w:type="dxa"/>
            <w:vAlign w:val="center"/>
          </w:tcPr>
          <w:p w14:paraId="72E570E9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40</w:t>
            </w:r>
          </w:p>
        </w:tc>
        <w:tc>
          <w:tcPr>
            <w:tcW w:w="1172" w:type="dxa"/>
            <w:vAlign w:val="center"/>
          </w:tcPr>
          <w:p w14:paraId="408FAEB4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48C86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74" w:type="dxa"/>
            <w:vMerge w:val="continue"/>
            <w:vAlign w:val="center"/>
          </w:tcPr>
          <w:p w14:paraId="7C1E6545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888" w:type="dxa"/>
            <w:vAlign w:val="center"/>
          </w:tcPr>
          <w:p w14:paraId="0E4F2105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B4领衔人示范辐射到位。领衔人面向全体学员上示范课或作讲座一年不少于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Cs w:val="21"/>
              </w:rPr>
              <w:t>次。</w:t>
            </w:r>
          </w:p>
        </w:tc>
        <w:tc>
          <w:tcPr>
            <w:tcW w:w="709" w:type="dxa"/>
            <w:vAlign w:val="center"/>
          </w:tcPr>
          <w:p w14:paraId="7E0CC685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</w:t>
            </w:r>
          </w:p>
        </w:tc>
        <w:tc>
          <w:tcPr>
            <w:tcW w:w="1542" w:type="dxa"/>
            <w:vAlign w:val="center"/>
          </w:tcPr>
          <w:p w14:paraId="467A8491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查阅网页</w:t>
            </w:r>
          </w:p>
        </w:tc>
        <w:tc>
          <w:tcPr>
            <w:tcW w:w="3438" w:type="dxa"/>
            <w:vAlign w:val="center"/>
          </w:tcPr>
          <w:p w14:paraId="14D7AABD">
            <w:pPr>
              <w:jc w:val="lef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领衔人多次展示示范课、示范讲座，引领学员不断成长。</w:t>
            </w:r>
          </w:p>
        </w:tc>
        <w:tc>
          <w:tcPr>
            <w:tcW w:w="1063" w:type="dxa"/>
            <w:vAlign w:val="center"/>
          </w:tcPr>
          <w:p w14:paraId="0793F3EF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</w:t>
            </w:r>
          </w:p>
        </w:tc>
        <w:tc>
          <w:tcPr>
            <w:tcW w:w="1172" w:type="dxa"/>
            <w:vAlign w:val="center"/>
          </w:tcPr>
          <w:p w14:paraId="4C92C4C8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C79B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174" w:type="dxa"/>
            <w:vMerge w:val="continue"/>
            <w:vAlign w:val="center"/>
          </w:tcPr>
          <w:p w14:paraId="19DEE5A6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888" w:type="dxa"/>
            <w:vAlign w:val="center"/>
          </w:tcPr>
          <w:p w14:paraId="07EB175F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B5项目研究有效。按计划推进项目建设，有阶段性项目研究成果。</w:t>
            </w:r>
          </w:p>
        </w:tc>
        <w:tc>
          <w:tcPr>
            <w:tcW w:w="709" w:type="dxa"/>
            <w:vAlign w:val="center"/>
          </w:tcPr>
          <w:p w14:paraId="5E549495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</w:t>
            </w:r>
          </w:p>
        </w:tc>
        <w:tc>
          <w:tcPr>
            <w:tcW w:w="1542" w:type="dxa"/>
            <w:vAlign w:val="center"/>
          </w:tcPr>
          <w:p w14:paraId="5B34FD5B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查阅网页</w:t>
            </w:r>
          </w:p>
        </w:tc>
        <w:tc>
          <w:tcPr>
            <w:tcW w:w="3438" w:type="dxa"/>
            <w:vAlign w:val="center"/>
          </w:tcPr>
          <w:p w14:paraId="7EC74062">
            <w:pPr>
              <w:jc w:val="lef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项目研究有序进行，并已有阶段性研究成果。</w:t>
            </w:r>
          </w:p>
        </w:tc>
        <w:tc>
          <w:tcPr>
            <w:tcW w:w="1063" w:type="dxa"/>
            <w:vAlign w:val="center"/>
          </w:tcPr>
          <w:p w14:paraId="34852D0C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</w:t>
            </w:r>
          </w:p>
        </w:tc>
        <w:tc>
          <w:tcPr>
            <w:tcW w:w="1172" w:type="dxa"/>
            <w:vAlign w:val="center"/>
          </w:tcPr>
          <w:p w14:paraId="74E1E996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E41E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74" w:type="dxa"/>
            <w:vMerge w:val="restart"/>
            <w:vAlign w:val="center"/>
          </w:tcPr>
          <w:p w14:paraId="7AE28CE0"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A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</w:p>
          <w:p w14:paraId="62C119CD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发展性指标</w:t>
            </w:r>
          </w:p>
        </w:tc>
        <w:tc>
          <w:tcPr>
            <w:tcW w:w="4888" w:type="dxa"/>
            <w:vAlign w:val="center"/>
          </w:tcPr>
          <w:p w14:paraId="7B4CC46A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B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Cs w:val="21"/>
              </w:rPr>
              <w:t>综合荣誉：省级8分，市级5分，区级3，校级1分。</w:t>
            </w:r>
          </w:p>
        </w:tc>
        <w:tc>
          <w:tcPr>
            <w:tcW w:w="709" w:type="dxa"/>
            <w:vMerge w:val="restart"/>
            <w:vAlign w:val="center"/>
          </w:tcPr>
          <w:p w14:paraId="4BC3E734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按实际成果打分，不封顶。</w:t>
            </w:r>
          </w:p>
        </w:tc>
        <w:tc>
          <w:tcPr>
            <w:tcW w:w="1542" w:type="dxa"/>
            <w:vMerge w:val="restart"/>
            <w:vAlign w:val="center"/>
          </w:tcPr>
          <w:p w14:paraId="147EE45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查阅网页（按1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Cs w:val="21"/>
              </w:rPr>
              <w:t>项分类汇总后上传于网页“成果展示”栏目）</w:t>
            </w:r>
          </w:p>
        </w:tc>
        <w:tc>
          <w:tcPr>
            <w:tcW w:w="3438" w:type="dxa"/>
            <w:vAlign w:val="center"/>
          </w:tcPr>
          <w:p w14:paraId="434C06A7">
            <w:pPr>
              <w:jc w:val="lef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领衔人在省市各级活动中贡献突出，引领成员获得年度考核优秀等综合荣誉。省级2人，区级8人，校级3人。</w:t>
            </w:r>
          </w:p>
        </w:tc>
        <w:tc>
          <w:tcPr>
            <w:tcW w:w="1063" w:type="dxa"/>
            <w:vAlign w:val="center"/>
          </w:tcPr>
          <w:p w14:paraId="76F8FE12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43</w:t>
            </w:r>
          </w:p>
        </w:tc>
        <w:tc>
          <w:tcPr>
            <w:tcW w:w="1172" w:type="dxa"/>
            <w:vAlign w:val="center"/>
          </w:tcPr>
          <w:p w14:paraId="1BF2AE87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6FFCF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174" w:type="dxa"/>
            <w:vMerge w:val="continue"/>
            <w:vAlign w:val="center"/>
          </w:tcPr>
          <w:p w14:paraId="593C7564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888" w:type="dxa"/>
            <w:vAlign w:val="center"/>
          </w:tcPr>
          <w:p w14:paraId="0941E0D8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B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Cs w:val="21"/>
              </w:rPr>
              <w:t>单项荣誉：省级3分，市级2分，区级1分，校级0.5分。</w:t>
            </w:r>
          </w:p>
        </w:tc>
        <w:tc>
          <w:tcPr>
            <w:tcW w:w="709" w:type="dxa"/>
            <w:vMerge w:val="continue"/>
            <w:vAlign w:val="center"/>
          </w:tcPr>
          <w:p w14:paraId="26C6F5FF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42" w:type="dxa"/>
            <w:vMerge w:val="continue"/>
            <w:vAlign w:val="center"/>
          </w:tcPr>
          <w:p w14:paraId="2232C4BF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438" w:type="dxa"/>
            <w:vAlign w:val="center"/>
          </w:tcPr>
          <w:p w14:paraId="5C3584F0">
            <w:pPr>
              <w:jc w:val="lef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各位营员在综合实践学科等学科领域都不断奋进，获得省市级等各项荣誉。省级4人，市级12人，区级2人，校级2人。</w:t>
            </w:r>
          </w:p>
        </w:tc>
        <w:tc>
          <w:tcPr>
            <w:tcW w:w="1063" w:type="dxa"/>
            <w:vAlign w:val="center"/>
          </w:tcPr>
          <w:p w14:paraId="4F819E07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36</w:t>
            </w:r>
          </w:p>
        </w:tc>
        <w:tc>
          <w:tcPr>
            <w:tcW w:w="1172" w:type="dxa"/>
            <w:vAlign w:val="center"/>
          </w:tcPr>
          <w:p w14:paraId="2A8F5A5F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45FED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174" w:type="dxa"/>
            <w:vMerge w:val="continue"/>
            <w:vAlign w:val="center"/>
          </w:tcPr>
          <w:p w14:paraId="2CEBF5E4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888" w:type="dxa"/>
            <w:vAlign w:val="center"/>
          </w:tcPr>
          <w:p w14:paraId="0B1D2DCF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B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Cs w:val="21"/>
              </w:rPr>
              <w:t>论文发表：国家级核心期刊10分，省级及以上刊物3分，市级刊物2分。</w:t>
            </w:r>
          </w:p>
        </w:tc>
        <w:tc>
          <w:tcPr>
            <w:tcW w:w="709" w:type="dxa"/>
            <w:vMerge w:val="continue"/>
            <w:vAlign w:val="center"/>
          </w:tcPr>
          <w:p w14:paraId="78DFB0C4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42" w:type="dxa"/>
            <w:vMerge w:val="continue"/>
            <w:vAlign w:val="center"/>
          </w:tcPr>
          <w:p w14:paraId="77BC7F2E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438" w:type="dxa"/>
            <w:vAlign w:val="center"/>
          </w:tcPr>
          <w:p w14:paraId="61CB97DD">
            <w:pPr>
              <w:jc w:val="lef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领衔人在核心期刊发表论文的同时，各位营员不仅注重教学实践，也很注重经验总结和论文撰写，在国家级、省级、市级等多方面的论文发表成果显著。核心期刊2篇，国家级3篇，省级19篇，市级1篇。</w:t>
            </w:r>
          </w:p>
        </w:tc>
        <w:tc>
          <w:tcPr>
            <w:tcW w:w="1063" w:type="dxa"/>
            <w:vAlign w:val="center"/>
          </w:tcPr>
          <w:p w14:paraId="7EE583FB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88</w:t>
            </w:r>
          </w:p>
        </w:tc>
        <w:tc>
          <w:tcPr>
            <w:tcW w:w="1172" w:type="dxa"/>
            <w:vAlign w:val="center"/>
          </w:tcPr>
          <w:p w14:paraId="3B6F14E9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18FD8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174" w:type="dxa"/>
            <w:vMerge w:val="continue"/>
            <w:vAlign w:val="center"/>
          </w:tcPr>
          <w:p w14:paraId="6144AE9D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888" w:type="dxa"/>
            <w:vAlign w:val="center"/>
          </w:tcPr>
          <w:p w14:paraId="75527A03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B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Cs w:val="21"/>
              </w:rPr>
              <w:t>论文获奖：省一等奖3分，省二等奖2分，省三等奖1分，市一等奖2分，市二等奖1分，市三等奖0.5分，区一等奖1分，区二等奖0.5分，</w:t>
            </w:r>
            <w:r>
              <w:rPr>
                <w:rFonts w:hint="eastAsia" w:ascii="仿宋" w:hAnsi="仿宋" w:eastAsia="仿宋" w:cs="仿宋"/>
                <w:color w:val="FF0000"/>
                <w:szCs w:val="21"/>
              </w:rPr>
              <w:t>区三等奖0</w:t>
            </w:r>
            <w:r>
              <w:rPr>
                <w:rFonts w:ascii="仿宋" w:hAnsi="仿宋" w:eastAsia="仿宋" w:cs="仿宋"/>
                <w:color w:val="FF0000"/>
                <w:szCs w:val="21"/>
              </w:rPr>
              <w:t>.2</w:t>
            </w:r>
            <w:r>
              <w:rPr>
                <w:rFonts w:hint="eastAsia" w:ascii="仿宋" w:hAnsi="仿宋" w:eastAsia="仿宋" w:cs="仿宋"/>
                <w:color w:val="FF0000"/>
                <w:szCs w:val="21"/>
              </w:rPr>
              <w:t>分</w:t>
            </w:r>
            <w:r>
              <w:rPr>
                <w:rFonts w:hint="eastAsia" w:ascii="仿宋" w:hAnsi="仿宋" w:eastAsia="仿宋" w:cs="仿宋"/>
                <w:szCs w:val="21"/>
              </w:rPr>
              <w:t>。</w:t>
            </w:r>
          </w:p>
        </w:tc>
        <w:tc>
          <w:tcPr>
            <w:tcW w:w="709" w:type="dxa"/>
            <w:vMerge w:val="continue"/>
            <w:vAlign w:val="center"/>
          </w:tcPr>
          <w:p w14:paraId="6F134E65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42" w:type="dxa"/>
            <w:vMerge w:val="continue"/>
            <w:vAlign w:val="center"/>
          </w:tcPr>
          <w:p w14:paraId="4FB69745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438" w:type="dxa"/>
            <w:vAlign w:val="center"/>
          </w:tcPr>
          <w:p w14:paraId="24D7FDA6">
            <w:pPr>
              <w:jc w:val="lef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成长营的营员们积极参加各种论文评选活动，在省市区等不同的比赛中都斩获佳绩。省级获奖6篇，市级获奖10篇，区级获奖20篇。</w:t>
            </w:r>
          </w:p>
        </w:tc>
        <w:tc>
          <w:tcPr>
            <w:tcW w:w="1063" w:type="dxa"/>
            <w:vAlign w:val="center"/>
          </w:tcPr>
          <w:p w14:paraId="29571CD2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29.05</w:t>
            </w:r>
          </w:p>
        </w:tc>
        <w:tc>
          <w:tcPr>
            <w:tcW w:w="1172" w:type="dxa"/>
            <w:vAlign w:val="center"/>
          </w:tcPr>
          <w:p w14:paraId="50A338D0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31856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174" w:type="dxa"/>
            <w:vMerge w:val="continue"/>
            <w:vAlign w:val="center"/>
          </w:tcPr>
          <w:p w14:paraId="2E67FE5C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888" w:type="dxa"/>
            <w:vAlign w:val="center"/>
          </w:tcPr>
          <w:p w14:paraId="54DE33F9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B1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Cs w:val="21"/>
              </w:rPr>
              <w:t>课题研究：</w:t>
            </w:r>
            <w:r>
              <w:rPr>
                <w:rFonts w:hint="eastAsia" w:ascii="仿宋" w:hAnsi="仿宋" w:eastAsia="仿宋" w:cs="仿宋"/>
                <w:color w:val="FF0000"/>
                <w:szCs w:val="21"/>
              </w:rPr>
              <w:t>主持</w:t>
            </w:r>
            <w:r>
              <w:rPr>
                <w:rFonts w:hint="eastAsia" w:ascii="仿宋" w:hAnsi="仿宋" w:eastAsia="仿宋" w:cs="仿宋"/>
                <w:szCs w:val="21"/>
              </w:rPr>
              <w:t>省级课题5分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/项</w:t>
            </w:r>
            <w:r>
              <w:rPr>
                <w:rFonts w:hint="eastAsia" w:ascii="仿宋" w:hAnsi="仿宋" w:eastAsia="仿宋" w:cs="仿宋"/>
                <w:szCs w:val="21"/>
              </w:rPr>
              <w:t>，</w:t>
            </w:r>
            <w:r>
              <w:rPr>
                <w:rFonts w:hint="eastAsia" w:ascii="仿宋" w:hAnsi="仿宋" w:eastAsia="仿宋" w:cs="仿宋"/>
                <w:color w:val="FF0000"/>
                <w:szCs w:val="21"/>
              </w:rPr>
              <w:t>主持</w:t>
            </w:r>
            <w:r>
              <w:rPr>
                <w:rFonts w:hint="eastAsia" w:ascii="仿宋" w:hAnsi="仿宋" w:eastAsia="仿宋" w:cs="仿宋"/>
                <w:szCs w:val="21"/>
              </w:rPr>
              <w:t>市级课题3分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/项</w:t>
            </w:r>
            <w:r>
              <w:rPr>
                <w:rFonts w:hint="eastAsia" w:ascii="仿宋" w:hAnsi="仿宋" w:eastAsia="仿宋" w:cs="仿宋"/>
                <w:szCs w:val="21"/>
              </w:rPr>
              <w:t>，</w:t>
            </w:r>
            <w:r>
              <w:rPr>
                <w:rFonts w:hint="eastAsia" w:ascii="仿宋" w:hAnsi="仿宋" w:eastAsia="仿宋" w:cs="仿宋"/>
                <w:color w:val="FF0000"/>
                <w:szCs w:val="21"/>
              </w:rPr>
              <w:t>主持</w:t>
            </w:r>
            <w:r>
              <w:rPr>
                <w:rFonts w:hint="eastAsia" w:ascii="仿宋" w:hAnsi="仿宋" w:eastAsia="仿宋" w:cs="仿宋"/>
                <w:szCs w:val="21"/>
              </w:rPr>
              <w:t>区级课题1分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/项</w:t>
            </w:r>
            <w:r>
              <w:rPr>
                <w:rFonts w:hint="eastAsia" w:ascii="仿宋" w:hAnsi="仿宋" w:eastAsia="仿宋" w:cs="仿宋"/>
                <w:szCs w:val="21"/>
              </w:rPr>
              <w:t>。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市区级备案课题未通过中期评估的不算。</w:t>
            </w:r>
            <w:r>
              <w:rPr>
                <w:rFonts w:hint="eastAsia" w:ascii="仿宋" w:hAnsi="仿宋" w:eastAsia="仿宋" w:cs="仿宋"/>
                <w:color w:val="FF0000"/>
                <w:szCs w:val="21"/>
              </w:rPr>
              <w:t>主持</w:t>
            </w:r>
            <w:r>
              <w:rPr>
                <w:rFonts w:hint="eastAsia" w:ascii="仿宋" w:hAnsi="仿宋" w:eastAsia="仿宋" w:cs="仿宋"/>
                <w:szCs w:val="21"/>
              </w:rPr>
              <w:t>区微型课题一等奖1分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/项</w:t>
            </w:r>
            <w:r>
              <w:rPr>
                <w:rFonts w:hint="eastAsia" w:ascii="仿宋" w:hAnsi="仿宋" w:eastAsia="仿宋" w:cs="仿宋"/>
                <w:szCs w:val="21"/>
              </w:rPr>
              <w:t>，二等奖0.5分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/项</w:t>
            </w:r>
            <w:r>
              <w:rPr>
                <w:rFonts w:hint="eastAsia" w:ascii="仿宋" w:hAnsi="仿宋" w:eastAsia="仿宋" w:cs="仿宋"/>
                <w:szCs w:val="21"/>
              </w:rPr>
              <w:t>。</w:t>
            </w:r>
          </w:p>
        </w:tc>
        <w:tc>
          <w:tcPr>
            <w:tcW w:w="709" w:type="dxa"/>
            <w:vMerge w:val="continue"/>
            <w:vAlign w:val="center"/>
          </w:tcPr>
          <w:p w14:paraId="0D4C6F65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42" w:type="dxa"/>
            <w:vMerge w:val="continue"/>
            <w:vAlign w:val="center"/>
          </w:tcPr>
          <w:p w14:paraId="326F7829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438" w:type="dxa"/>
            <w:vAlign w:val="center"/>
          </w:tcPr>
          <w:p w14:paraId="3E1315C5">
            <w:pPr>
              <w:jc w:val="lef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领衔人主持的课题研究具有很高的前瞻性，在领衔人的支持下，各成员积极主持市区级课题，并在微型课题评选中也有收获。省级课题1个，市级课题1个，区级3个，微型课题2个。</w:t>
            </w:r>
          </w:p>
        </w:tc>
        <w:tc>
          <w:tcPr>
            <w:tcW w:w="1063" w:type="dxa"/>
            <w:vAlign w:val="center"/>
          </w:tcPr>
          <w:p w14:paraId="432DA1DF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12.5</w:t>
            </w:r>
          </w:p>
        </w:tc>
        <w:tc>
          <w:tcPr>
            <w:tcW w:w="1172" w:type="dxa"/>
            <w:vAlign w:val="center"/>
          </w:tcPr>
          <w:p w14:paraId="23B996F2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FE34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174" w:type="dxa"/>
            <w:vMerge w:val="continue"/>
            <w:vAlign w:val="center"/>
          </w:tcPr>
          <w:p w14:paraId="6EC43404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888" w:type="dxa"/>
            <w:vAlign w:val="center"/>
          </w:tcPr>
          <w:p w14:paraId="7E0B6EC7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B1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1"/>
              </w:rPr>
              <w:t>公开课：省级5分，市级2分，区级1分。</w:t>
            </w:r>
          </w:p>
        </w:tc>
        <w:tc>
          <w:tcPr>
            <w:tcW w:w="709" w:type="dxa"/>
            <w:vMerge w:val="continue"/>
            <w:vAlign w:val="center"/>
          </w:tcPr>
          <w:p w14:paraId="470A18F1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42" w:type="dxa"/>
            <w:vMerge w:val="continue"/>
            <w:vAlign w:val="center"/>
          </w:tcPr>
          <w:p w14:paraId="0E2A53A9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438" w:type="dxa"/>
            <w:vAlign w:val="center"/>
          </w:tcPr>
          <w:p w14:paraId="42493C23">
            <w:pPr>
              <w:jc w:val="lef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各位营员在各级公开课都在学科上起到示范作用，将教学改革实践体现在课堂教学过程中。市级课9节，区级课20节。</w:t>
            </w:r>
          </w:p>
        </w:tc>
        <w:tc>
          <w:tcPr>
            <w:tcW w:w="1063" w:type="dxa"/>
            <w:vAlign w:val="center"/>
          </w:tcPr>
          <w:p w14:paraId="491E1C81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38</w:t>
            </w:r>
          </w:p>
        </w:tc>
        <w:tc>
          <w:tcPr>
            <w:tcW w:w="1172" w:type="dxa"/>
            <w:vAlign w:val="center"/>
          </w:tcPr>
          <w:p w14:paraId="16D8C19C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56C93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174" w:type="dxa"/>
            <w:vMerge w:val="continue"/>
            <w:vAlign w:val="center"/>
          </w:tcPr>
          <w:p w14:paraId="25EB319E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888" w:type="dxa"/>
            <w:vAlign w:val="center"/>
          </w:tcPr>
          <w:p w14:paraId="1B2BFAFE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B1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Cs w:val="21"/>
              </w:rPr>
              <w:t>讲座：省级5分，市级2分，区级1分。</w:t>
            </w:r>
          </w:p>
        </w:tc>
        <w:tc>
          <w:tcPr>
            <w:tcW w:w="709" w:type="dxa"/>
            <w:vMerge w:val="continue"/>
            <w:vAlign w:val="center"/>
          </w:tcPr>
          <w:p w14:paraId="761F2175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42" w:type="dxa"/>
            <w:vMerge w:val="continue"/>
            <w:vAlign w:val="center"/>
          </w:tcPr>
          <w:p w14:paraId="7BEDD6A3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438" w:type="dxa"/>
            <w:vAlign w:val="center"/>
          </w:tcPr>
          <w:p w14:paraId="71BA03E0">
            <w:pPr>
              <w:jc w:val="lef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领衔人在省市级活动中的讲座将课程教学改革实践不断落实，各位营员也在学习成长中有了自己的思考，开展微讲座。省级讲座1节，市级讲座6节，区级讲座11节。</w:t>
            </w:r>
          </w:p>
        </w:tc>
        <w:tc>
          <w:tcPr>
            <w:tcW w:w="1063" w:type="dxa"/>
            <w:vAlign w:val="center"/>
          </w:tcPr>
          <w:p w14:paraId="251CE5F7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27</w:t>
            </w:r>
          </w:p>
        </w:tc>
        <w:tc>
          <w:tcPr>
            <w:tcW w:w="1172" w:type="dxa"/>
            <w:vAlign w:val="center"/>
          </w:tcPr>
          <w:p w14:paraId="582ED080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70A0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174" w:type="dxa"/>
            <w:vMerge w:val="continue"/>
            <w:vAlign w:val="center"/>
          </w:tcPr>
          <w:p w14:paraId="2529A1D1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888" w:type="dxa"/>
            <w:vAlign w:val="center"/>
          </w:tcPr>
          <w:p w14:paraId="4EEB5781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B1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评优课、基本功：省一等奖8分，省二等奖6分，市一等奖6分，市二等奖4分，市三等奖2分，区一等奖4分，区二等奖2分，区三等奖1分。</w:t>
            </w:r>
          </w:p>
        </w:tc>
        <w:tc>
          <w:tcPr>
            <w:tcW w:w="709" w:type="dxa"/>
            <w:vMerge w:val="continue"/>
            <w:vAlign w:val="center"/>
          </w:tcPr>
          <w:p w14:paraId="0722B029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42" w:type="dxa"/>
            <w:vMerge w:val="continue"/>
            <w:vAlign w:val="center"/>
          </w:tcPr>
          <w:p w14:paraId="7A5788AD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438" w:type="dxa"/>
            <w:vAlign w:val="center"/>
          </w:tcPr>
          <w:p w14:paraId="4AC679BB">
            <w:pPr>
              <w:jc w:val="lef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营员们在省市区级学科类基本功比赛和评优课比赛中崭露头角，收获颇丰。省级获奖1个，市级获奖4个，区级获奖23个。</w:t>
            </w:r>
          </w:p>
        </w:tc>
        <w:tc>
          <w:tcPr>
            <w:tcW w:w="1063" w:type="dxa"/>
            <w:vAlign w:val="center"/>
          </w:tcPr>
          <w:p w14:paraId="7694DD1D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84</w:t>
            </w:r>
          </w:p>
        </w:tc>
        <w:tc>
          <w:tcPr>
            <w:tcW w:w="1172" w:type="dxa"/>
            <w:vAlign w:val="center"/>
          </w:tcPr>
          <w:p w14:paraId="27EE4268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7E99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174" w:type="dxa"/>
            <w:vMerge w:val="continue"/>
            <w:vAlign w:val="center"/>
          </w:tcPr>
          <w:p w14:paraId="5C5E1DD5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888" w:type="dxa"/>
            <w:vAlign w:val="center"/>
          </w:tcPr>
          <w:p w14:paraId="00887497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B1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Cs w:val="21"/>
              </w:rPr>
              <w:t>教育教学单项比赛：省一等奖4分，省二等奖3分，省三等奖2分，市一等奖3分，市二等奖2分，市三等奖1分，区一等奖2分，区二等奖1分，区三等奖0.5分。</w:t>
            </w:r>
          </w:p>
        </w:tc>
        <w:tc>
          <w:tcPr>
            <w:tcW w:w="709" w:type="dxa"/>
            <w:vMerge w:val="continue"/>
            <w:vAlign w:val="center"/>
          </w:tcPr>
          <w:p w14:paraId="0E192668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42" w:type="dxa"/>
            <w:vMerge w:val="continue"/>
            <w:vAlign w:val="center"/>
          </w:tcPr>
          <w:p w14:paraId="6B30B933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438" w:type="dxa"/>
            <w:vAlign w:val="center"/>
          </w:tcPr>
          <w:p w14:paraId="71B52C25">
            <w:pPr>
              <w:jc w:val="left"/>
              <w:rPr>
                <w:rFonts w:hint="default" w:ascii="仿宋" w:hAnsi="仿宋" w:eastAsia="仿宋" w:cs="仿宋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营员积极参与各类比赛，在省、市、区等不同赛场上均有收获，充分展现了团队扎实的专业素养与创新活力。省级获奖2个，市级获奖12个，区级获奖21个。</w:t>
            </w:r>
          </w:p>
        </w:tc>
        <w:tc>
          <w:tcPr>
            <w:tcW w:w="1063" w:type="dxa"/>
            <w:vAlign w:val="center"/>
          </w:tcPr>
          <w:p w14:paraId="3E8DACD4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50.5</w:t>
            </w:r>
          </w:p>
        </w:tc>
        <w:tc>
          <w:tcPr>
            <w:tcW w:w="1172" w:type="dxa"/>
            <w:vAlign w:val="center"/>
          </w:tcPr>
          <w:p w14:paraId="1F0C5539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6BD61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174" w:type="dxa"/>
            <w:vMerge w:val="continue"/>
            <w:vAlign w:val="center"/>
          </w:tcPr>
          <w:p w14:paraId="24266FB2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888" w:type="dxa"/>
            <w:vAlign w:val="center"/>
          </w:tcPr>
          <w:p w14:paraId="65C68834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B1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>专业称号、职称晋升：专业称号、职称在原有基础上有晋升每人次4分。</w:t>
            </w:r>
          </w:p>
        </w:tc>
        <w:tc>
          <w:tcPr>
            <w:tcW w:w="709" w:type="dxa"/>
            <w:vMerge w:val="continue"/>
            <w:vAlign w:val="center"/>
          </w:tcPr>
          <w:p w14:paraId="31B30E03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42" w:type="dxa"/>
            <w:vMerge w:val="continue"/>
            <w:vAlign w:val="center"/>
          </w:tcPr>
          <w:p w14:paraId="4A1D9984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438" w:type="dxa"/>
            <w:vAlign w:val="center"/>
          </w:tcPr>
          <w:p w14:paraId="73C5CC49">
            <w:pPr>
              <w:jc w:val="left"/>
              <w:rPr>
                <w:rFonts w:hint="default" w:ascii="仿宋" w:hAnsi="仿宋" w:eastAsia="仿宋" w:cs="仿宋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营员们在活动中积极关注自身成长，在“共研共享”的机制下积累自身材料，让提升自我与创新实践同频共振。专业称号晋升8人，职称晋升1人。</w:t>
            </w:r>
          </w:p>
        </w:tc>
        <w:tc>
          <w:tcPr>
            <w:tcW w:w="1063" w:type="dxa"/>
            <w:vAlign w:val="center"/>
          </w:tcPr>
          <w:p w14:paraId="24D751FB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36</w:t>
            </w:r>
          </w:p>
        </w:tc>
        <w:tc>
          <w:tcPr>
            <w:tcW w:w="1172" w:type="dxa"/>
            <w:tcBorders/>
            <w:vAlign w:val="center"/>
          </w:tcPr>
          <w:p w14:paraId="467BBC10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</w:tbl>
    <w:p w14:paraId="1EE11E3A">
      <w:pPr>
        <w:rPr>
          <w:color w:val="FF0000"/>
        </w:rPr>
      </w:pPr>
      <w:r>
        <w:rPr>
          <w:rFonts w:hint="eastAsia"/>
        </w:rPr>
        <w:t>说明：1、发展性指标的成果含成长营领衔人和所有成员，按每人每次累加。2、论文获奖主要指教育行政主管部门、教研机构、教师发展机构、电教机构组织的论文评比活动，同一篇论文不累计，省教育学会组织的论文评比得分减半，杂志社等上述机构不予认可。3、课题研究主要指主持的规划课题、教研课题和电教课题，子课题和参与课题不予认可。4、上述未涉及的其他特殊成果具体商议决定。5、考核周期为</w:t>
      </w:r>
      <w:r>
        <w:rPr>
          <w:rFonts w:hint="eastAsia"/>
          <w:color w:val="FF0000"/>
          <w:lang w:val="en-US" w:eastAsia="zh-CN"/>
        </w:rPr>
        <w:t>2023年10月1日</w:t>
      </w:r>
      <w:r>
        <w:rPr>
          <w:rFonts w:hint="eastAsia"/>
          <w:color w:val="FF0000"/>
        </w:rPr>
        <w:t>至</w:t>
      </w:r>
      <w:r>
        <w:rPr>
          <w:rFonts w:hint="eastAsia"/>
          <w:color w:val="FF0000"/>
          <w:lang w:val="en-US" w:eastAsia="zh-CN"/>
        </w:rPr>
        <w:t>2025年3月31日</w:t>
      </w:r>
      <w:r>
        <w:rPr>
          <w:rFonts w:hint="eastAsia"/>
          <w:color w:val="auto"/>
        </w:rPr>
        <w:t>。</w:t>
      </w:r>
    </w:p>
    <w:sectPr>
      <w:pgSz w:w="16838" w:h="11906" w:orient="landscape"/>
      <w:pgMar w:top="1588" w:right="1440" w:bottom="158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035E"/>
    <w:rsid w:val="00131B9F"/>
    <w:rsid w:val="001434E0"/>
    <w:rsid w:val="002878BC"/>
    <w:rsid w:val="0032035E"/>
    <w:rsid w:val="003849BD"/>
    <w:rsid w:val="005F076A"/>
    <w:rsid w:val="006C4453"/>
    <w:rsid w:val="00735728"/>
    <w:rsid w:val="00784310"/>
    <w:rsid w:val="007D727A"/>
    <w:rsid w:val="008F00CD"/>
    <w:rsid w:val="00C2024E"/>
    <w:rsid w:val="00CA6CF3"/>
    <w:rsid w:val="00EF7BD9"/>
    <w:rsid w:val="00FF0110"/>
    <w:rsid w:val="0980261C"/>
    <w:rsid w:val="0B5F1B77"/>
    <w:rsid w:val="103F583A"/>
    <w:rsid w:val="21796C25"/>
    <w:rsid w:val="28BB6778"/>
    <w:rsid w:val="325E42E9"/>
    <w:rsid w:val="3D586B1A"/>
    <w:rsid w:val="481F2506"/>
    <w:rsid w:val="4F8F337B"/>
    <w:rsid w:val="50376D03"/>
    <w:rsid w:val="51062224"/>
    <w:rsid w:val="5CB161AE"/>
    <w:rsid w:val="5D461808"/>
    <w:rsid w:val="6DA861E5"/>
    <w:rsid w:val="72E864DB"/>
    <w:rsid w:val="79D1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1595</Words>
  <Characters>1692</Characters>
  <Lines>10</Lines>
  <Paragraphs>2</Paragraphs>
  <TotalTime>55</TotalTime>
  <ScaleCrop>false</ScaleCrop>
  <LinksUpToDate>false</LinksUpToDate>
  <CharactersWithSpaces>1767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2020-01-13T01:18:00Z</dcterms:created>
  <dc:creator>Administrator</dc:creator>
  <cp:lastModifiedBy>精灵</cp:lastModifiedBy>
  <cp:lastPrinted>2021-12-06T07:40:00Z</cp:lastPrinted>
  <dcterms:modified xsi:type="dcterms:W3CDTF">2025-03-29T13:25:08Z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CC64CF8FA95044FB854715AF1066C321</vt:lpwstr>
  </property>
  <property fmtid="{D5CDD505-2E9C-101B-9397-08002B2CF9AE}" pid="4" name="KSOTemplateDocerSaveRecord">
    <vt:lpwstr>eyJoZGlkIjoiNzUxOTVkN2ZmMjVjM2EzNTY4MWNhM2I2OGZkMjAyOTMiLCJ1c2VySWQiOiI1MTE5MTMzMjUifQ==</vt:lpwstr>
  </property>
</Properties>
</file>