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color w:val="FF0000"/>
          <w:sz w:val="21"/>
          <w:szCs w:val="21"/>
          <w:lang w:val="en-US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新北区小学数学教学倪敏优秀教师培育室活动记录表</w:t>
      </w:r>
    </w:p>
    <w:tbl>
      <w:tblPr>
        <w:tblStyle w:val="3"/>
        <w:tblpPr w:leftFromText="180" w:rightFromText="180" w:vertAnchor="page" w:horzAnchor="page" w:tblpX="1815" w:tblpY="20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526"/>
        <w:gridCol w:w="1914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活动主题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强化学科实践，实现学生素养全面发展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主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李羚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主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讲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倪敏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活动时间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活动地点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河海实验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参与教师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倪敏  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潘香君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巢一开 施佳丽 周鑫淼 韩舒阳  陈烨 刘红 刘孝玲 丁媛媛  张璐妍 潘青 戴莉 李羚 乔茜 骆晓倩 张云杰 谭梦婕 徐馨尔 潘婷婷 周敏 易赛龙 恽蝶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2" w:hRule="atLeast"/>
        </w:trPr>
        <w:tc>
          <w:tcPr>
            <w:tcW w:w="173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活</w:t>
            </w: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动</w:t>
            </w: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过</w:t>
            </w: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程</w:t>
            </w:r>
          </w:p>
        </w:tc>
        <w:tc>
          <w:tcPr>
            <w:tcW w:w="6788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ind w:firstLine="500"/>
              <w:jc w:val="left"/>
              <w:rPr>
                <w:rFonts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三月芳菲教研忙，深耕细作育新芽。为深入践行《义务教育数学课程标准（2022年版）》理念，探索新教材实施路径，推动课堂教学深度变革，3月24日，新北区小学数学倪敏优秀教师培育室第29次研讨活动在河海实验小学举行。本次活动以“践行新课标，探索新教材”为主题，聚焦一年级数学教学实践，通过课例展示、互动研讨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专家引领等形式，为区域教师提供“新课标·新教材·新教法”的实践范式。本次活动由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val="en-US" w:eastAsia="zh-CN" w:bidi="ar"/>
              </w:rPr>
              <w:t>薛家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小学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val="en-US" w:eastAsia="zh-CN" w:bidi="ar"/>
              </w:rPr>
              <w:t>李羚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老师主持。</w:t>
            </w:r>
          </w:p>
          <w:p>
            <w:pPr>
              <w:widowControl/>
              <w:spacing w:line="360" w:lineRule="auto"/>
              <w:jc w:val="both"/>
              <w:rPr>
                <w:rFonts w:ascii="宋体" w:hAnsi="宋体" w:cs="宋体"/>
                <w:b/>
                <w:bCs/>
                <w:spacing w:val="1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pacing w:val="10"/>
                <w:kern w:val="0"/>
                <w:sz w:val="24"/>
                <w:shd w:val="clear" w:color="auto" w:fill="FFFFFF"/>
                <w:lang w:bidi="ar"/>
              </w:rPr>
              <w:t>立足素养，童趣与思维共生</w:t>
            </w:r>
          </w:p>
          <w:p>
            <w:pPr>
              <w:spacing w:line="360" w:lineRule="auto"/>
              <w:ind w:firstLine="520" w:firstLineChars="200"/>
              <w:rPr>
                <w:rFonts w:hint="eastAsia" w:ascii="宋体" w:hAnsi="宋体" w:eastAsia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val="en-US" w:eastAsia="zh-CN" w:bidi="ar"/>
              </w:rPr>
              <w:t>河海实验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小学陈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val="en-US" w:eastAsia="zh-CN" w:bidi="ar"/>
              </w:rPr>
              <w:t>烨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老师执教的《数据分类》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val="en-US" w:eastAsia="zh-CN" w:bidi="ar"/>
              </w:rPr>
              <w:t>教学中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陈烨老师立足一年级学生认知特点，以教材情境为蓝本，创设“会飞的VS不会飞的”趣味分类任务。课堂从书本中的动物图例入手，引导学生观察特征、自主制定分类标准，通过“分一分”动手操作、“画一画”记录过程、“数一数”统计结果的三步探究法，亲历数据整理的完整过程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让学生理解什么是“分类”及“分类标准”的含义，学会按标准分类。帮助学生的认识由事物分类迈向数据分类，培养了学生的数学思维和解决问题的能力。</w:t>
            </w:r>
          </w:p>
          <w:p>
            <w:pPr>
              <w:widowControl/>
              <w:spacing w:line="360" w:lineRule="auto"/>
              <w:ind w:firstLine="500"/>
              <w:jc w:val="left"/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val="en-US" w:eastAsia="zh-CN" w:bidi="ar"/>
              </w:rPr>
              <w:t>百草园小学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施佳丽老师在《平面图形的分解与拼组》一课中，以长方形为探究起点，通过“想、折、剪、说”四步活动链，带领学生开启图形变换的探索之旅。课堂中，学生先“想”象长方形的分解方式，再动手“折”叠、“剪”出不同分法，发现“一个长方形能分成两个完全相同的三角形或平行四边形”。施老师适时引入平行四边形的特征，并借助钉子板演示图形变形，引导学生观察边与角的变化规律。从“分”到“拼”，学生用剪出的图形自由组合成新图案，在“说”理中明晰图形间的内在联系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让课堂在创意拼搭与理性思辨中绽放思维火花。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b/>
                <w:bCs/>
                <w:spacing w:val="1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pacing w:val="10"/>
                <w:kern w:val="0"/>
                <w:sz w:val="24"/>
                <w:shd w:val="clear" w:color="auto" w:fill="FFFFFF"/>
                <w:lang w:bidi="ar"/>
              </w:rPr>
              <w:t>共研共进，锚定成长坐标</w:t>
            </w:r>
          </w:p>
          <w:p>
            <w:pPr>
              <w:widowControl/>
              <w:spacing w:line="360" w:lineRule="auto"/>
              <w:ind w:firstLine="500"/>
              <w:jc w:val="left"/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两节精彩的课堂展示结束后，执教老师立足教学目标，结合当堂教学实践，交流了自己的思考。围绕陈烨、施佳丽两位老师的课例，培育室成员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val="en-US" w:eastAsia="zh-CN" w:bidi="ar"/>
              </w:rPr>
              <w:t>也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展开深度研讨。针对《数据分类》一课，教师们充分肯定“分、画、数”三步探究法对低年级数据意识培养的支架作用，认为生活化情境与开放性任务设计，有效平衡了课堂趣味性与思维性；《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val="en-US" w:eastAsia="zh-CN" w:bidi="ar"/>
              </w:rPr>
              <w:t>平面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图形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eastAsia="zh-CN" w:bidi="ar"/>
              </w:rPr>
              <w:t>的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分解与拼组》则引发“如何让操作活动与思维提升同频”的讨论，成员们点赞“想—折—剪—说”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eastAsia="zh-CN" w:bidi="ar"/>
              </w:rPr>
              <w:t>的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val="en-US" w:eastAsia="zh-CN" w:bidi="ar"/>
              </w:rPr>
              <w:t>活动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设计，既满足低龄儿童具身认知需求，又为空间观念发展提供逻辑支撑。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b/>
                <w:bCs/>
                <w:spacing w:val="1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pacing w:val="10"/>
                <w:kern w:val="0"/>
                <w:sz w:val="24"/>
                <w:shd w:val="clear" w:color="auto" w:fill="FFFFFF"/>
                <w:lang w:bidi="ar"/>
              </w:rPr>
              <w:t>高位点拨明方向 蓄力前行赋新能</w:t>
            </w:r>
          </w:p>
          <w:p>
            <w:pPr>
              <w:widowControl/>
              <w:spacing w:line="360" w:lineRule="auto"/>
              <w:ind w:firstLine="500"/>
              <w:jc w:val="left"/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常州市武进区星河实验小学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潘香君校长针对陈烨、施佳丽两位教师的课堂实施问题逐一解析。她指出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eastAsia="zh-CN" w:bidi="ar"/>
              </w:rPr>
              <w:t>，《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数据分类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eastAsia="zh-CN" w:bidi="ar"/>
              </w:rPr>
              <w:t>》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 xml:space="preserve">需进一步关注“非典型分类案例”的课堂生成，借非常规思维深化学生对“标准唯一性”的辩证理解；《图形拼组》可增设“还原图形”逆向任务，促进空间推理能力进阶。潘校长强调：“低年级操作课要警惕‘动手不动脑’，需以关键问题串联活动，让指尖跃动与思维进阶同频共振。”  </w:t>
            </w:r>
          </w:p>
          <w:p>
            <w:pPr>
              <w:widowControl/>
              <w:spacing w:line="360" w:lineRule="auto"/>
              <w:ind w:firstLine="520" w:firstLineChars="200"/>
              <w:jc w:val="left"/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围绕“区青年教师基本功备赛”，潘校长以“勤练固本，功到自成”为主题分享策略，从即兴演讲、教学设计、课堂演绎三方面提出实操建议。她鼓励教师“日常积累案例库，靶向突破薄弱项”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eastAsia="zh-CN" w:bidi="ar"/>
              </w:rPr>
              <w:t>。</w:t>
            </w:r>
          </w:p>
          <w:p>
            <w:pPr>
              <w:widowControl/>
              <w:spacing w:line="360" w:lineRule="auto"/>
              <w:ind w:firstLine="520" w:firstLineChars="200"/>
              <w:jc w:val="left"/>
              <w:rPr>
                <w:rFonts w:hint="eastAsia" w:ascii="宋体" w:hAnsi="宋体" w:eastAsia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val="en-US" w:eastAsia="zh-CN" w:bidi="ar"/>
              </w:rPr>
              <w:t>活动最后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，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val="en-US" w:eastAsia="zh-CN" w:bidi="ar"/>
              </w:rPr>
              <w:t>工作室领衔人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倪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val="en-US" w:eastAsia="zh-CN" w:bidi="ar"/>
              </w:rPr>
              <w:t>敏校长</w:t>
            </w: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结合本次活动对培育室的小伙伴们提出了几点要求和期许：一是要加强日常教学反思，积极撰写教育教学论文，不断提升自己的实践能力和表达水平；二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是要形成阅读分享机制，通过阅读和交流，拓宽视野，增长见识；三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4"/>
                <w:shd w:val="clear" w:color="auto" w:fill="FFFFFF"/>
                <w:lang w:val="en-US" w:eastAsia="zh-CN" w:bidi="ar"/>
              </w:rPr>
              <w:t>是要增强三个意识，分别是儿童意识、成长意识、时代意识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。</w:t>
            </w:r>
          </w:p>
          <w:p>
            <w:pPr>
              <w:widowControl/>
              <w:spacing w:line="360" w:lineRule="auto"/>
              <w:ind w:firstLine="500"/>
              <w:jc w:val="left"/>
              <w:rPr>
                <w:rFonts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spacing w:val="10"/>
                <w:kern w:val="0"/>
                <w:sz w:val="24"/>
                <w:shd w:val="clear" w:color="auto" w:fill="FFFFFF"/>
                <w:lang w:bidi="ar"/>
              </w:rPr>
              <w:t>教研路漫漫，潜心共求索。本次活动以课例为镜，以专家为帆，为区域教师践行新课标、用好新教材提供了清晰路径。相信在“教—研—训”一体化的推动下，新北小数人将以更扎实的课堂实践回应时代命题，助力学生核心素养的拔节生长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b36b76f8-b367-4e18-add6-58b8c9c01eb1"/>
  </w:docVars>
  <w:rsids>
    <w:rsidRoot w:val="14BA1BA0"/>
    <w:rsid w:val="030E25B9"/>
    <w:rsid w:val="06D61345"/>
    <w:rsid w:val="14BA1BA0"/>
    <w:rsid w:val="2AAD33A5"/>
    <w:rsid w:val="52FC2DD4"/>
    <w:rsid w:val="7112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915</Words>
  <Characters>920</Characters>
  <Lines>0</Lines>
  <Paragraphs>0</Paragraphs>
  <TotalTime>2</TotalTime>
  <ScaleCrop>false</ScaleCrop>
  <LinksUpToDate>false</LinksUpToDate>
  <CharactersWithSpaces>951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2024-01-16T10:50:00Z</dcterms:created>
  <dc:creator>乔乔</dc:creator>
  <cp:lastModifiedBy>张老师</cp:lastModifiedBy>
  <dcterms:modified xsi:type="dcterms:W3CDTF">2025-03-25T00:08:24Z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75EFD6E12E824C039678DD5BB4FCE9D0</vt:lpwstr>
  </property>
</Properties>
</file>