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ind w:firstLine="1461" w:firstLineChars="696"/>
        <w:jc w:val="righ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>小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班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2025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3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日—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3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日第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spacing w:after="0" w:line="320" w:lineRule="exac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B52AA99">
            <w:pPr>
              <w:widowControl w:val="0"/>
              <w:spacing w:line="280" w:lineRule="exact"/>
              <w:ind w:firstLine="435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草地上有嫩嫩的小草、五颜六色的花儿，学校操场后排的灌木丛也长出了嫩叶子，樱花树上也有了新芽……春天已经悄悄地来到我们身边。通过调查了解，66.6%的幼儿知道现在的季节是春天，58.3%的幼儿能说一说他们发现的春天的基本变化。</w:t>
            </w:r>
          </w:p>
          <w:p w14:paraId="7BCAEB3D">
            <w:pPr>
              <w:widowControl w:val="0"/>
              <w:spacing w:line="280" w:lineRule="exact"/>
              <w:ind w:firstLine="435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从本周开始，我们将开展《春天真美丽》的主题活动，引导幼儿到大自然中去寻找初春的景象，初步感知春天的美好。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75CF9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 w14:paraId="26A67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7F5AD9D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1.布置《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美丽的春天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》的主题氛围，张贴展示幼儿关于自己的绘画、手工、粘土作品等。</w:t>
            </w:r>
          </w:p>
          <w:p w14:paraId="3C81E884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美工区提供彩泥、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木片、小枝丫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制作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一瓶花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，提供颜料、棉签画迎春花、桃花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提供皱纹纸搓柳条等；益智区提供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自制游戏小鸡吃虫（数量）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、亿童玩具等；阅读区提供《找春天》《遇见春天》等图书；娃娃家提供娃娃、动物玩具、电话等供幼儿自由玩耍；建构区提供春天的公园、树木图片，引导幼儿建构。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2E9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1.能自主端饭，并在一定时间内能独自吃完自己的一份饭菜。</w:t>
            </w:r>
          </w:p>
          <w:p w14:paraId="4B1B5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 w14:paraId="1E24950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整理包包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、照顾娃娃；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花丛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你好！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春天》《找春天》；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小鸡吃虫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数豆豆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一瓶花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柳条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、棉签画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迎春花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幼儿的游戏情况：通过观察记录、今日动态等方式了解幼儿是否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根据自己想搭建的作品选择相应的材料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等。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幼儿的游戏情况：通过拍照、观察记录、今日动态等方式了解幼儿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在进行益智区游戏时是否能按照游戏规则进行活动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A5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1.综合：春天来了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2.语言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花路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音乐：春天</w:t>
            </w:r>
          </w:p>
          <w:p w14:paraId="05E1F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4.体育：跳跳跳           5.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春天的花园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瓶中取球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小小工程师</w:t>
            </w:r>
          </w:p>
          <w:p w14:paraId="47F06F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工程活动：投石机   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乌龟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柳条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大风吹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高睿、王婷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王婷</w:t>
      </w:r>
    </w:p>
    <w:p w14:paraId="163A57B8">
      <w:pPr>
        <w:spacing w:line="310" w:lineRule="exact"/>
        <w:ind w:right="210"/>
        <w:jc w:val="right"/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</w:pPr>
    </w:p>
    <w:p w14:paraId="2C15AE0A">
      <w:pPr>
        <w:spacing w:line="310" w:lineRule="exact"/>
        <w:ind w:right="21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6C5164"/>
    <w:rsid w:val="3E77217A"/>
    <w:rsid w:val="3E8802DD"/>
    <w:rsid w:val="3E8D3D29"/>
    <w:rsid w:val="3EDB1AA4"/>
    <w:rsid w:val="3F1510EC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EF273C1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1944625"/>
    <w:rsid w:val="61BE5E24"/>
    <w:rsid w:val="625E13B5"/>
    <w:rsid w:val="628726BA"/>
    <w:rsid w:val="636D70BA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5B35BC"/>
    <w:rsid w:val="756E3266"/>
    <w:rsid w:val="76C92E49"/>
    <w:rsid w:val="76CC0B8C"/>
    <w:rsid w:val="78002BF0"/>
    <w:rsid w:val="786B1177"/>
    <w:rsid w:val="78D930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1193</Words>
  <Characters>1222</Characters>
  <Lines>11</Lines>
  <Paragraphs>3</Paragraphs>
  <TotalTime>8</TotalTime>
  <ScaleCrop>false</ScaleCrop>
  <LinksUpToDate>false</LinksUpToDate>
  <CharactersWithSpaces>1265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2025-03-09T23:55:00Z</cp:lastPrinted>
  <dcterms:modified xsi:type="dcterms:W3CDTF">2025-03-19T05:56:41Z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C7127B5C426646DE8CD4213D8EAC5252_13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