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B52AA99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52.6%的幼儿知道现在的季节是春天，31.5%的幼儿能说一说他们发现的春天的基本变化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从本周开始，我们将开展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春天真美丽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》</w:t>
            </w:r>
            <w:r>
              <w:rPr>
                <w:rFonts w:hint="default" w:ascii="宋体" w:hAnsi="宋体" w:eastAsia="宋体" w:cs="宋体"/>
                <w:bCs/>
                <w:lang w:val="en-US" w:eastAsia="zh-CN"/>
              </w:rPr>
              <w:t>的主题活动，引导幼儿到大自然中去寻找初春的景象，初步感知春天的美好。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5C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26A67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《遇见春天》等图书；娃娃家提供娃娃、动物玩具、电话等供幼儿自由玩耍；建构区提供春天的公园、树木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2E9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1.能自主端饭，并在一定时间内能独自吃完自己的一份饭菜。</w:t>
            </w:r>
          </w:p>
          <w:p w14:paraId="4B1B5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1E249500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你好！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春天》《找春天》；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吴莹莹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在游戏时能否和同伴合作游戏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罗贤慧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幼儿的游戏情况：通过拍照、观察记录、今日动态等方式了解幼儿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在进行科探区游戏时能否按照小实验要求进行活动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1.综合：春天来了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</w:p>
          <w:p w14:paraId="05E1F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花路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5.体育：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跳跳跳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瓶中取球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工程活动：投石机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乌龟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柳条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大风吹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2C196D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1193</Words>
  <Characters>1222</Characters>
  <Lines>11</Lines>
  <Paragraphs>3</Paragraphs>
  <TotalTime>0</TotalTime>
  <ScaleCrop>false</ScaleCrop>
  <LinksUpToDate>false</LinksUpToDate>
  <CharactersWithSpaces>1265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2025-03-09T23:55:00Z</cp:lastPrinted>
  <dcterms:modified xsi:type="dcterms:W3CDTF">2025-03-21T06:00:59Z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eyJoZGlkIjoiZjQwNjU1MGE2ZDk1MWM3NGYyMzU3ZDAwYmU1OWIwZWUiLCJ1c2VySWQiOiI3MTI5MTE0NDMifQ==</vt:lpwstr>
  </property>
</Properties>
</file>