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E575C" w14:textId="77777777" w:rsidR="00A304B8" w:rsidRDefault="00000000">
      <w:pPr>
        <w:spacing w:line="400" w:lineRule="exact"/>
        <w:jc w:val="center"/>
        <w:rPr>
          <w:b/>
          <w:bCs/>
          <w:sz w:val="32"/>
          <w:szCs w:val="32"/>
        </w:rPr>
      </w:pPr>
      <w:r>
        <w:rPr>
          <w:rFonts w:hint="eastAsia"/>
          <w:b/>
          <w:bCs/>
          <w:sz w:val="32"/>
          <w:szCs w:val="32"/>
        </w:rPr>
        <w:t>教学评一致性视域的学生问题意识培养</w:t>
      </w:r>
    </w:p>
    <w:p w14:paraId="129A3E44" w14:textId="77777777" w:rsidR="00A304B8" w:rsidRDefault="00A304B8">
      <w:pPr>
        <w:spacing w:line="400" w:lineRule="exact"/>
        <w:rPr>
          <w:rFonts w:asciiTheme="minorEastAsia" w:hAnsiTheme="minorEastAsia" w:cstheme="minorEastAsia" w:hint="eastAsia"/>
          <w:b/>
          <w:bCs/>
          <w:szCs w:val="21"/>
        </w:rPr>
      </w:pPr>
    </w:p>
    <w:p w14:paraId="42536203" w14:textId="77685B77" w:rsidR="00A304B8" w:rsidRDefault="00000000">
      <w:pPr>
        <w:spacing w:line="400" w:lineRule="exact"/>
        <w:rPr>
          <w:rFonts w:asciiTheme="minorEastAsia" w:hAnsiTheme="minorEastAsia" w:cstheme="minorEastAsia" w:hint="eastAsia"/>
          <w:szCs w:val="21"/>
        </w:rPr>
      </w:pPr>
      <w:r>
        <w:rPr>
          <w:rFonts w:asciiTheme="minorEastAsia" w:hAnsiTheme="minorEastAsia" w:cstheme="minorEastAsia" w:hint="eastAsia"/>
          <w:b/>
          <w:bCs/>
          <w:szCs w:val="21"/>
        </w:rPr>
        <w:t xml:space="preserve">摘  要  </w:t>
      </w:r>
      <w:r>
        <w:rPr>
          <w:rFonts w:asciiTheme="minorEastAsia" w:hAnsiTheme="minorEastAsia" w:cstheme="minorEastAsia" w:hint="eastAsia"/>
          <w:szCs w:val="21"/>
        </w:rPr>
        <w:t>教学评的一致性是培养学生问题意识的重要抓手。坚持问题导向，通过课前学历案指导学生预学，搭建问题意识的脚手架</w:t>
      </w:r>
      <w:r w:rsidR="00933488">
        <w:rPr>
          <w:rFonts w:asciiTheme="minorEastAsia" w:hAnsiTheme="minorEastAsia" w:cstheme="minorEastAsia" w:hint="eastAsia"/>
          <w:szCs w:val="21"/>
        </w:rPr>
        <w:t>，</w:t>
      </w:r>
      <w:r>
        <w:rPr>
          <w:rFonts w:asciiTheme="minorEastAsia" w:hAnsiTheme="minorEastAsia" w:cstheme="minorEastAsia" w:hint="eastAsia"/>
          <w:szCs w:val="21"/>
        </w:rPr>
        <w:t>课中创设议题式、辨析式和任务式情境，引导学生探究，为问题意识养成提供操作平台</w:t>
      </w:r>
      <w:r w:rsidR="00933488">
        <w:rPr>
          <w:rFonts w:asciiTheme="minorEastAsia" w:hAnsiTheme="minorEastAsia" w:cstheme="minorEastAsia" w:hint="eastAsia"/>
          <w:szCs w:val="21"/>
        </w:rPr>
        <w:t>，</w:t>
      </w:r>
      <w:r>
        <w:rPr>
          <w:rFonts w:asciiTheme="minorEastAsia" w:hAnsiTheme="minorEastAsia" w:cstheme="minorEastAsia" w:hint="eastAsia"/>
          <w:szCs w:val="21"/>
        </w:rPr>
        <w:t>课后加强教学评价和引导学生反思，从解决问题走向问题解决，架设问题解决成长梯，有助于推进以评促学、以评促教，培育学生学科核心素养。</w:t>
      </w:r>
    </w:p>
    <w:p w14:paraId="13E3E67B" w14:textId="77777777" w:rsidR="00A304B8" w:rsidRDefault="00000000">
      <w:pPr>
        <w:spacing w:line="400" w:lineRule="exact"/>
        <w:rPr>
          <w:rFonts w:asciiTheme="minorEastAsia" w:hAnsiTheme="minorEastAsia" w:cstheme="minorEastAsia" w:hint="eastAsia"/>
          <w:szCs w:val="21"/>
        </w:rPr>
      </w:pPr>
      <w:r>
        <w:rPr>
          <w:rFonts w:asciiTheme="minorEastAsia" w:hAnsiTheme="minorEastAsia" w:cstheme="minorEastAsia" w:hint="eastAsia"/>
          <w:b/>
          <w:bCs/>
          <w:szCs w:val="21"/>
        </w:rPr>
        <w:t xml:space="preserve">关键词  </w:t>
      </w:r>
      <w:r>
        <w:rPr>
          <w:rFonts w:asciiTheme="minorEastAsia" w:hAnsiTheme="minorEastAsia" w:cstheme="minorEastAsia" w:hint="eastAsia"/>
          <w:szCs w:val="21"/>
        </w:rPr>
        <w:t xml:space="preserve">教学评一致性  问题意识  学历案  问题情境  教学评价 </w:t>
      </w:r>
    </w:p>
    <w:p w14:paraId="290DCAE9" w14:textId="77777777"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课程标准强调要基于“教学评的一致性”，实现教学形成所教即所学、所教即所评、所学即所评的“小闭环”。在这个闭环中，我们要坚持问题导向，加强教学设计，善于将教学目标转化为学生可探究、愿探究和能探究的各种问题，以问题打造贯穿的、可循环的“环扣”，引导学生积极主动地思考、探索、质疑，从解决问题走向问题解决，提升学科核心素养。</w:t>
      </w:r>
    </w:p>
    <w:p w14:paraId="112E1866" w14:textId="77777777" w:rsidR="00A304B8" w:rsidRDefault="00000000">
      <w:pPr>
        <w:spacing w:line="400" w:lineRule="exact"/>
        <w:jc w:val="center"/>
        <w:rPr>
          <w:rFonts w:asciiTheme="minorEastAsia" w:hAnsiTheme="minorEastAsia" w:cstheme="minorEastAsia" w:hint="eastAsia"/>
          <w:b/>
          <w:bCs/>
          <w:szCs w:val="21"/>
        </w:rPr>
      </w:pPr>
      <w:r>
        <w:rPr>
          <w:rFonts w:asciiTheme="minorEastAsia" w:hAnsiTheme="minorEastAsia" w:cstheme="minorEastAsia" w:hint="eastAsia"/>
          <w:b/>
          <w:bCs/>
          <w:szCs w:val="21"/>
        </w:rPr>
        <w:t>一、以学历案为抓手，搭建问题意识脚手架</w:t>
      </w:r>
    </w:p>
    <w:p w14:paraId="306ACD09" w14:textId="64D4C4FB"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学贵有疑，问题意识是有效教学的前提条件和学生预学的重要途径。基于学科大概念或单元大主题的学历案，以期待学生“学会什么”为出发点，设计和呈现“学生为什么要学”</w:t>
      </w:r>
      <w:r w:rsidR="00F31414">
        <w:rPr>
          <w:rFonts w:asciiTheme="minorEastAsia" w:hAnsiTheme="minorEastAsia" w:cstheme="minorEastAsia" w:hint="eastAsia"/>
          <w:szCs w:val="21"/>
        </w:rPr>
        <w:t>的</w:t>
      </w:r>
      <w:r>
        <w:rPr>
          <w:rFonts w:asciiTheme="minorEastAsia" w:hAnsiTheme="minorEastAsia" w:cstheme="minorEastAsia" w:hint="eastAsia"/>
          <w:szCs w:val="21"/>
        </w:rPr>
        <w:t>过程，使学生能够理解性地构建包括学习目标、评价任务、学习过程、质量检测等要素的专业方案，激趣乐疑，为形成一定的问题意识提供抓手。教师应研读教材，依据课程标准的核心素养要求和单元章节的主要内容，设计符合学科特点和学生实际的学历案，以开启教学评循环的起点，引导学生进行自主学习、完成任务、激发疑惑，为后期深度学习奠定基础。</w:t>
      </w:r>
    </w:p>
    <w:p w14:paraId="0C488CCB" w14:textId="7D747CEE"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如对于道德与法治部编版教材八年级上册第七课“积极奉献社会”，首先，给出本课的学习目标与学习重难点，帮助学生明确学习的方向；其次，设置“自学互研”板块，呈现本课题的知识导图，在教学重难点的地方设置填空，让学生在课前依据教材自主完成，并给出评价标准——</w:t>
      </w:r>
      <w:r w:rsidR="004D4E71">
        <w:rPr>
          <w:rFonts w:asciiTheme="minorEastAsia" w:hAnsiTheme="minorEastAsia" w:cstheme="minorEastAsia" w:hint="eastAsia"/>
          <w:szCs w:val="21"/>
        </w:rPr>
        <w:t>如</w:t>
      </w:r>
      <w:r>
        <w:rPr>
          <w:rFonts w:asciiTheme="minorEastAsia" w:hAnsiTheme="minorEastAsia" w:cstheme="minorEastAsia" w:hint="eastAsia"/>
          <w:szCs w:val="21"/>
        </w:rPr>
        <w:t>能自主依据教材完成知识填空；再次，设计学习任务、导学问题和评价表，如以“运动会上的</w:t>
      </w:r>
      <w:r w:rsidR="006617A4">
        <w:rPr>
          <w:rFonts w:asciiTheme="minorEastAsia" w:hAnsiTheme="minorEastAsia" w:cstheme="minorEastAsia" w:hint="eastAsia"/>
          <w:szCs w:val="21"/>
        </w:rPr>
        <w:t>‘</w:t>
      </w:r>
      <w:r w:rsidR="006617A4">
        <w:rPr>
          <w:rFonts w:asciiTheme="minorEastAsia" w:hAnsiTheme="minorEastAsia" w:cstheme="minorEastAsia" w:hint="eastAsia"/>
          <w:szCs w:val="21"/>
          <w:u w:val="single"/>
        </w:rPr>
        <w:t xml:space="preserve">     </w:t>
      </w:r>
      <w:r w:rsidR="006617A4">
        <w:rPr>
          <w:rFonts w:asciiTheme="minorEastAsia" w:hAnsiTheme="minorEastAsia" w:cstheme="minorEastAsia" w:hint="eastAsia"/>
          <w:szCs w:val="21"/>
        </w:rPr>
        <w:t>’</w:t>
      </w:r>
      <w:r>
        <w:rPr>
          <w:rFonts w:asciiTheme="minorEastAsia" w:hAnsiTheme="minorEastAsia" w:cstheme="minorEastAsia" w:hint="eastAsia"/>
          <w:szCs w:val="21"/>
        </w:rPr>
        <w:t>镜头”剧本创设作为任务版块，让学生结合学校运动会上发生的真实场景为内容进行小组合作任务，完成情境剧本创作，在真实的情境中打开“问题思维”方式，开展有逻辑结构的生成性、深层次的问题学习。</w:t>
      </w:r>
    </w:p>
    <w:p w14:paraId="564DF5E7" w14:textId="2F4F1B97"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以学历案为抓手，学生的课前学习是有明确目标的预习。学生进行任务探究，进行反思，往往能生成反思性问题。在完成“运动会上的</w:t>
      </w:r>
      <w:r w:rsidR="006617A4">
        <w:rPr>
          <w:rFonts w:asciiTheme="minorEastAsia" w:hAnsiTheme="minorEastAsia" w:cstheme="minorEastAsia" w:hint="eastAsia"/>
          <w:szCs w:val="21"/>
        </w:rPr>
        <w:t>‘</w:t>
      </w:r>
      <w:r w:rsidR="006617A4">
        <w:rPr>
          <w:rFonts w:asciiTheme="minorEastAsia" w:hAnsiTheme="minorEastAsia" w:cstheme="minorEastAsia" w:hint="eastAsia"/>
          <w:szCs w:val="21"/>
          <w:u w:val="single"/>
        </w:rPr>
        <w:t xml:space="preserve">     </w:t>
      </w:r>
      <w:r w:rsidR="006617A4">
        <w:rPr>
          <w:rFonts w:asciiTheme="minorEastAsia" w:hAnsiTheme="minorEastAsia" w:cstheme="minorEastAsia" w:hint="eastAsia"/>
          <w:szCs w:val="21"/>
        </w:rPr>
        <w:t>’</w:t>
      </w:r>
      <w:r>
        <w:rPr>
          <w:rFonts w:asciiTheme="minorEastAsia" w:hAnsiTheme="minorEastAsia" w:cstheme="minorEastAsia" w:hint="eastAsia"/>
          <w:szCs w:val="21"/>
        </w:rPr>
        <w:t>镜头”的情境创设任务之时，深层次的思维指向就在于激发学生围绕生活中</w:t>
      </w:r>
      <w:r w:rsidR="00D9664B">
        <w:rPr>
          <w:rFonts w:asciiTheme="minorEastAsia" w:hAnsiTheme="minorEastAsia" w:cstheme="minorEastAsia" w:hint="eastAsia"/>
          <w:szCs w:val="21"/>
        </w:rPr>
        <w:t>的</w:t>
      </w:r>
      <w:r>
        <w:rPr>
          <w:rFonts w:asciiTheme="minorEastAsia" w:hAnsiTheme="minorEastAsia" w:cstheme="minorEastAsia" w:hint="eastAsia"/>
          <w:szCs w:val="21"/>
        </w:rPr>
        <w:t>困惑生成半结构化问题</w:t>
      </w:r>
      <w:r w:rsidR="003A71E3">
        <w:rPr>
          <w:rFonts w:asciiTheme="minorEastAsia" w:hAnsiTheme="minorEastAsia" w:cstheme="minorEastAsia" w:hint="eastAsia"/>
          <w:szCs w:val="21"/>
        </w:rPr>
        <w:t>：</w:t>
      </w:r>
      <w:r>
        <w:rPr>
          <w:rFonts w:asciiTheme="minorEastAsia" w:hAnsiTheme="minorEastAsia" w:cstheme="minorEastAsia" w:hint="eastAsia"/>
          <w:szCs w:val="21"/>
        </w:rPr>
        <w:t>“生活中除了自己还有他人和社会”“我们为什么要关爱他人？”“帮助他人给自己带来了什么？”……。为了有效地完成任务，学生需要</w:t>
      </w:r>
      <w:r w:rsidR="00EE5904">
        <w:rPr>
          <w:rFonts w:asciiTheme="minorEastAsia" w:hAnsiTheme="minorEastAsia" w:cstheme="minorEastAsia" w:hint="eastAsia"/>
          <w:szCs w:val="21"/>
        </w:rPr>
        <w:t>根据</w:t>
      </w:r>
      <w:r>
        <w:rPr>
          <w:rFonts w:asciiTheme="minorEastAsia" w:hAnsiTheme="minorEastAsia" w:cstheme="minorEastAsia" w:hint="eastAsia"/>
          <w:szCs w:val="21"/>
        </w:rPr>
        <w:t>这些问题构建知识框架体系，将孤立的问题建构联系，形成问题串或问题链，过程中不断思维发散与收敛。预学的过程相伴疑惑的产生，学生将遇到的问题填入疑惑表，及时留住问题，不断思考问题，生成反思问题，形成良好的问题意识。</w:t>
      </w:r>
    </w:p>
    <w:p w14:paraId="07DF7491" w14:textId="77777777" w:rsidR="00A304B8" w:rsidRDefault="00000000">
      <w:pPr>
        <w:spacing w:line="400" w:lineRule="exact"/>
        <w:jc w:val="center"/>
        <w:rPr>
          <w:rFonts w:asciiTheme="minorEastAsia" w:hAnsiTheme="minorEastAsia" w:cstheme="minorEastAsia" w:hint="eastAsia"/>
          <w:b/>
          <w:bCs/>
          <w:szCs w:val="21"/>
        </w:rPr>
      </w:pPr>
      <w:r>
        <w:rPr>
          <w:rFonts w:asciiTheme="minorEastAsia" w:hAnsiTheme="minorEastAsia" w:cstheme="minorEastAsia" w:hint="eastAsia"/>
          <w:b/>
          <w:bCs/>
          <w:szCs w:val="21"/>
        </w:rPr>
        <w:t>二、以情境链为载体，提供问题探究操作台</w:t>
      </w:r>
    </w:p>
    <w:p w14:paraId="22878365" w14:textId="403E6D23"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lastRenderedPageBreak/>
        <w:t>情境是开展教学活动和培养学生问题意识的重要载体。教学评一致性理念下，课堂教学要基于一定的情境发挥问题对教师教和学生学的导向作用，必须构建真实多样的情境，巧设问题与任务性活动，让学生展开思维探究，产生新问题，让小组合作、观点思辨、人格培养有真实的操作空间，从而以问题启发疑惑、以疑惑促生评价、以评价反馈教学。</w:t>
      </w:r>
    </w:p>
    <w:p w14:paraId="43C86D51" w14:textId="77777777" w:rsidR="00A304B8" w:rsidRDefault="00000000">
      <w:pPr>
        <w:spacing w:line="400" w:lineRule="exact"/>
        <w:ind w:firstLineChars="200" w:firstLine="422"/>
        <w:rPr>
          <w:rFonts w:asciiTheme="minorEastAsia" w:hAnsiTheme="minorEastAsia" w:cstheme="minorEastAsia" w:hint="eastAsia"/>
          <w:szCs w:val="21"/>
        </w:rPr>
      </w:pPr>
      <w:r>
        <w:rPr>
          <w:rFonts w:asciiTheme="minorEastAsia" w:hAnsiTheme="minorEastAsia" w:cstheme="minorEastAsia" w:hint="eastAsia"/>
          <w:b/>
          <w:bCs/>
          <w:szCs w:val="21"/>
        </w:rPr>
        <w:t>以议题情境为主线，指向学生核心素养的培育。</w:t>
      </w:r>
      <w:r>
        <w:rPr>
          <w:rFonts w:asciiTheme="minorEastAsia" w:hAnsiTheme="minorEastAsia" w:cstheme="minorEastAsia" w:hint="eastAsia"/>
          <w:szCs w:val="21"/>
        </w:rPr>
        <w:t>学生的学科核心素养是在不断解决各种真实问题的过程中逐渐形成的。思政课教学要基于课标和教材，设计多个恰当的情境，形成议题情境链，在相互关联的情境中逐步渗透核心素养的培育，优化课堂效果。围绕“如何积极奉献社会”总议题，我设计了“生活的观察——发现关爱无处不在”、“角色的体验——关爱他人成就人生”、“未来的书写——服务社会书写伟大”三个子议题展开。以热点新闻“挡刀女孩崔译文”的情境故事为主线，创设运动会上的有爱镜头、如果你是崔译文的角色体验、不负使命书写伟大的时代唱响为主要议学任务，由近及远、从浅到深，让学生在真实的议题情境中体验、感悟，真正的解决问题，培养责任意识、使命担当、人生规划等具体的问题解决意识，推进道德修养、健全人格、政治认同等核心素养的培育。</w:t>
      </w:r>
    </w:p>
    <w:p w14:paraId="7B169C08" w14:textId="77777777" w:rsidR="00A304B8" w:rsidRDefault="00000000">
      <w:pPr>
        <w:spacing w:line="400" w:lineRule="exact"/>
        <w:ind w:firstLineChars="200" w:firstLine="422"/>
        <w:rPr>
          <w:rFonts w:asciiTheme="minorEastAsia" w:hAnsiTheme="minorEastAsia" w:cstheme="minorEastAsia" w:hint="eastAsia"/>
          <w:szCs w:val="21"/>
        </w:rPr>
      </w:pPr>
      <w:r>
        <w:rPr>
          <w:rFonts w:asciiTheme="minorEastAsia" w:hAnsiTheme="minorEastAsia" w:cstheme="minorEastAsia" w:hint="eastAsia"/>
          <w:b/>
          <w:bCs/>
          <w:szCs w:val="21"/>
        </w:rPr>
        <w:t>以真实情境为入口，激发学生批判思维的培养。</w:t>
      </w:r>
      <w:r>
        <w:rPr>
          <w:rFonts w:asciiTheme="minorEastAsia" w:hAnsiTheme="minorEastAsia" w:cstheme="minorEastAsia" w:hint="eastAsia"/>
          <w:szCs w:val="21"/>
        </w:rPr>
        <w:t>基于现实生活的复杂性，我们应深入研究学生的生活、心理等特点，创设生活化的辨析式问题情境，通过热点分析、角色扮演、情境体验等活动引导学生自主探究、合作探究，激发学生理性思考，获得真实的学习感受。</w:t>
      </w:r>
    </w:p>
    <w:p w14:paraId="2D6CD66B" w14:textId="69269CAD" w:rsidR="00A304B8" w:rsidRDefault="00000000">
      <w:pPr>
        <w:spacing w:line="400" w:lineRule="exact"/>
        <w:rPr>
          <w:rFonts w:asciiTheme="minorEastAsia" w:hAnsiTheme="minorEastAsia" w:cstheme="minorEastAsia" w:hint="eastAsia"/>
          <w:szCs w:val="21"/>
        </w:rPr>
      </w:pPr>
      <w:r>
        <w:rPr>
          <w:rFonts w:asciiTheme="minorEastAsia" w:hAnsiTheme="minorEastAsia" w:cstheme="minorEastAsia" w:hint="eastAsia"/>
          <w:szCs w:val="21"/>
        </w:rPr>
        <w:t>如课堂上我们基于学生生活的真实情境，设计“运动会上的有爱镜头”任务，让学生合作创作演绎剧本，自觉“照照镜子”，映射学生生活中发生的关爱他人的画面，在真实的情境中了解关爱他人的表现，进而通过镜头的演绎发现和分析自身存在的问题，让学生将自己的行为与他人的镜头进行比对，在帮助他人收获幸福的故事中充盈青春律动，促进思维进阶</w:t>
      </w:r>
      <w:r w:rsidR="007F0950">
        <w:rPr>
          <w:rFonts w:asciiTheme="minorEastAsia" w:hAnsiTheme="minorEastAsia" w:cstheme="minorEastAsia" w:hint="eastAsia"/>
          <w:szCs w:val="21"/>
        </w:rPr>
        <w:t>。</w:t>
      </w:r>
    </w:p>
    <w:p w14:paraId="436A95EC" w14:textId="159E81CA"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重视真实情境的“可议可辩”，展现崔译文勇救同学的故事，创设“如果你是她的角色体验”情境任务，让学生在“A 救”与“B不救”的两难情境中展开思辨，指向知识的问题化联结，关注学生的真实体验，让问题更具思辨性。学生就持有的不同观点PK辩论，合理阐述，自圆其说，这个过程中，“自评+生评”和教师的点评相结合，促进学生思维碰撞，能够不断生成问题、追溯问题、反思问题，提升学科思维的深刻性和广域度。</w:t>
      </w:r>
    </w:p>
    <w:p w14:paraId="6B064A69" w14:textId="219F7443" w:rsidR="00A304B8" w:rsidRDefault="00000000">
      <w:pPr>
        <w:spacing w:line="400" w:lineRule="exact"/>
        <w:ind w:firstLineChars="200" w:firstLine="422"/>
        <w:rPr>
          <w:rFonts w:asciiTheme="minorEastAsia" w:hAnsiTheme="minorEastAsia" w:cstheme="minorEastAsia" w:hint="eastAsia"/>
          <w:szCs w:val="21"/>
        </w:rPr>
      </w:pPr>
      <w:r>
        <w:rPr>
          <w:rFonts w:asciiTheme="minorEastAsia" w:hAnsiTheme="minorEastAsia" w:cstheme="minorEastAsia" w:hint="eastAsia"/>
          <w:b/>
          <w:bCs/>
          <w:szCs w:val="21"/>
        </w:rPr>
        <w:t>以任务情境为驱动，提升学生解决问题的能力。</w:t>
      </w:r>
      <w:r>
        <w:rPr>
          <w:rFonts w:asciiTheme="minorEastAsia" w:hAnsiTheme="minorEastAsia" w:cstheme="minorEastAsia" w:hint="eastAsia"/>
          <w:color w:val="0000FF"/>
          <w:szCs w:val="21"/>
        </w:rPr>
        <w:t>思政课教学要凸显学生的主体地位，</w:t>
      </w:r>
      <w:r>
        <w:rPr>
          <w:rFonts w:asciiTheme="minorEastAsia" w:hAnsiTheme="minorEastAsia" w:cstheme="minorEastAsia" w:hint="eastAsia"/>
          <w:szCs w:val="21"/>
        </w:rPr>
        <w:t>必须创设任务情境，以问题为纽带，赋能学生产生问题、思考问题、解决问题，引导学生在任务中探究教学主题、议题和话题，促进问题得到有效解决。</w:t>
      </w:r>
    </w:p>
    <w:p w14:paraId="6B618984" w14:textId="77777777"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【议学任务一】小组合作：①以小组为单位演绎“运动会上的</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镜头”，并结合自身实际分享被关爱的故事，谈谈感受。②被爱是一种幸福，关爱他人也是一种幸福。结合自身实际，谈谈你对这句话的理解。</w:t>
      </w:r>
    </w:p>
    <w:p w14:paraId="17E57209" w14:textId="1896BF61"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【议学任务二】①如果你是崔译文，你会怎样选择？请说明理由。②崔译文的行为启示我们如何赋予生命温度</w:t>
      </w:r>
      <w:r w:rsidR="008C0081">
        <w:rPr>
          <w:rFonts w:asciiTheme="minorEastAsia" w:hAnsiTheme="minorEastAsia" w:cstheme="minorEastAsia" w:hint="eastAsia"/>
          <w:szCs w:val="21"/>
        </w:rPr>
        <w:t>、关爱他人</w:t>
      </w:r>
      <w:r>
        <w:rPr>
          <w:rFonts w:asciiTheme="minorEastAsia" w:hAnsiTheme="minorEastAsia" w:cstheme="minorEastAsia" w:hint="eastAsia"/>
          <w:szCs w:val="21"/>
        </w:rPr>
        <w:t>？</w:t>
      </w:r>
    </w:p>
    <w:p w14:paraId="58547818" w14:textId="333FE5EB"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【议学任务三】小组讨论：青少年肩负着祖国新时代建设的使命，我们如何在实际生活</w:t>
      </w:r>
      <w:r>
        <w:rPr>
          <w:rFonts w:asciiTheme="minorEastAsia" w:hAnsiTheme="minorEastAsia" w:cstheme="minorEastAsia" w:hint="eastAsia"/>
          <w:szCs w:val="21"/>
        </w:rPr>
        <w:lastRenderedPageBreak/>
        <w:t>中</w:t>
      </w:r>
      <w:r w:rsidR="00C74646">
        <w:rPr>
          <w:rFonts w:asciiTheme="minorEastAsia" w:hAnsiTheme="minorEastAsia" w:cstheme="minorEastAsia" w:hint="eastAsia"/>
          <w:szCs w:val="21"/>
        </w:rPr>
        <w:t>服务社会、</w:t>
      </w:r>
      <w:r>
        <w:rPr>
          <w:rFonts w:asciiTheme="minorEastAsia" w:hAnsiTheme="minorEastAsia" w:cstheme="minorEastAsia" w:hint="eastAsia"/>
          <w:szCs w:val="21"/>
        </w:rPr>
        <w:t>书写伟大？</w:t>
      </w:r>
    </w:p>
    <w:p w14:paraId="3B900CBB" w14:textId="77777777"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提示：可从思想、行动、家庭、学校、社会等多角度考虑。</w:t>
      </w:r>
    </w:p>
    <w:p w14:paraId="20453DDF" w14:textId="2543E02B"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要求：4人一小组，讨论时间3分钟；小组</w:t>
      </w:r>
      <w:r w:rsidR="00E427B2">
        <w:rPr>
          <w:rFonts w:asciiTheme="minorEastAsia" w:hAnsiTheme="minorEastAsia" w:cstheme="minorEastAsia" w:hint="eastAsia"/>
          <w:szCs w:val="21"/>
        </w:rPr>
        <w:t>分工完成，</w:t>
      </w:r>
      <w:r>
        <w:rPr>
          <w:rFonts w:asciiTheme="minorEastAsia" w:hAnsiTheme="minorEastAsia" w:cstheme="minorEastAsia" w:hint="eastAsia"/>
          <w:szCs w:val="21"/>
        </w:rPr>
        <w:t>选出记录员和发言代表。</w:t>
      </w:r>
    </w:p>
    <w:p w14:paraId="1B6368FC" w14:textId="3FFCAB19"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重视任务活动的多样性。议学任务一引导学生展开自主合作探究，基于真实生活引导学生与生活对话，学会发现身边有爱的画面，树立关爱他人的意识，落实自评。议学任务二引导学生与同学展开交流辩论，实现生生对话，在教师的引导和点评中，展开师生对话，给出即时的表现性评价，让学生意识到关爱他人也是一种幸福。议学任务三引导学生展开与未来的对话，感受英雄人物伟大</w:t>
      </w:r>
      <w:r w:rsidR="00DE5A5A">
        <w:rPr>
          <w:rFonts w:asciiTheme="minorEastAsia" w:hAnsiTheme="minorEastAsia" w:cstheme="minorEastAsia" w:hint="eastAsia"/>
          <w:szCs w:val="21"/>
        </w:rPr>
        <w:t>的</w:t>
      </w:r>
      <w:r>
        <w:rPr>
          <w:rFonts w:asciiTheme="minorEastAsia" w:hAnsiTheme="minorEastAsia" w:cstheme="minorEastAsia" w:hint="eastAsia"/>
          <w:szCs w:val="21"/>
        </w:rPr>
        <w:t>同时也共情平凡人为社会的奉献，增强爱国情感，培养责任意识和使命担当，主动肩负实现中华民族伟大复兴的历史使命。多样化的任务促进学生共享智慧，了解他人的思维方式、拓宽自身解决问题的思路。</w:t>
      </w:r>
    </w:p>
    <w:p w14:paraId="4FBF3E46" w14:textId="1981DD5E"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重视议学任务的驱动性。课中环节是以解决问题为首要目标的，无论是生本资源的理解与展示还是情境化问题的创设与分享，都是帮助学生解决生活实际问题的学习过程。三个议学任务情境，以明确的学习方向为学生提供思考、提问、交流、实践、探究的机会，驱动学生由表及里、层层递进，在具有层次性和思辨性的任务中有真实的体验和思考，提高解决问题的能力。教师要通过点评，拓展学生解决问题的思路，丰富学生思考问题的厚度。</w:t>
      </w:r>
    </w:p>
    <w:p w14:paraId="76C4DC24" w14:textId="77777777" w:rsidR="00A304B8" w:rsidRDefault="00000000">
      <w:pPr>
        <w:spacing w:line="400" w:lineRule="exact"/>
        <w:jc w:val="center"/>
        <w:rPr>
          <w:rFonts w:asciiTheme="minorEastAsia" w:hAnsiTheme="minorEastAsia" w:cstheme="minorEastAsia" w:hint="eastAsia"/>
          <w:b/>
          <w:bCs/>
          <w:szCs w:val="21"/>
        </w:rPr>
      </w:pPr>
      <w:r>
        <w:rPr>
          <w:rFonts w:asciiTheme="minorEastAsia" w:hAnsiTheme="minorEastAsia" w:cstheme="minorEastAsia" w:hint="eastAsia"/>
          <w:b/>
          <w:bCs/>
          <w:szCs w:val="21"/>
        </w:rPr>
        <w:t>三、以评价表为依据，架设问题解决成长梯</w:t>
      </w:r>
    </w:p>
    <w:p w14:paraId="793E53AD" w14:textId="6B4C3F21"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课后环节是下一次课堂的课前环节。前后衔接，有序循环的教学评价，既是对教学的补充和深化，也是拓展学生学习空间、强化学生自主学习能力的有效途径。教学评一致性理念下的评价要对学生核心素养的综合发展状况进行评估，兼顾学生学习态度、参与学习活动的程度以及对课程内容的理解应用水平，关注学生在真实情境与任务中运用所学知识分析问题、解决问题时所表现出的核心素养发展水平。因此，教师的课后延伸应该通过笔头练习、评价表以及创新型作业等的综合运用促进教学评的一体化，助推学生问题意识的培养。</w:t>
      </w:r>
    </w:p>
    <w:p w14:paraId="671D04C3" w14:textId="77777777" w:rsidR="00A304B8" w:rsidRDefault="00000000" w:rsidP="00400223">
      <w:pPr>
        <w:spacing w:line="400" w:lineRule="exact"/>
        <w:jc w:val="center"/>
        <w:rPr>
          <w:rFonts w:asciiTheme="minorEastAsia" w:hAnsiTheme="minorEastAsia" w:cstheme="minorEastAsia" w:hint="eastAsia"/>
          <w:szCs w:val="21"/>
        </w:rPr>
      </w:pPr>
      <w:r>
        <w:rPr>
          <w:rFonts w:asciiTheme="minorEastAsia" w:hAnsiTheme="minorEastAsia" w:cstheme="minorEastAsia" w:hint="eastAsia"/>
          <w:szCs w:val="21"/>
        </w:rPr>
        <w:t>表1：任务评价量表</w:t>
      </w:r>
    </w:p>
    <w:tbl>
      <w:tblPr>
        <w:tblStyle w:val="11"/>
        <w:tblW w:w="0" w:type="auto"/>
        <w:jc w:val="center"/>
        <w:tblLook w:val="04A0" w:firstRow="1" w:lastRow="0" w:firstColumn="1" w:lastColumn="0" w:noHBand="0" w:noVBand="1"/>
      </w:tblPr>
      <w:tblGrid>
        <w:gridCol w:w="1056"/>
        <w:gridCol w:w="2106"/>
        <w:gridCol w:w="689"/>
        <w:gridCol w:w="1077"/>
        <w:gridCol w:w="1077"/>
        <w:gridCol w:w="1077"/>
      </w:tblGrid>
      <w:tr w:rsidR="00A304B8" w14:paraId="10575559" w14:textId="77777777">
        <w:trPr>
          <w:trHeight w:val="312"/>
          <w:jc w:val="center"/>
        </w:trPr>
        <w:tc>
          <w:tcPr>
            <w:tcW w:w="0" w:type="auto"/>
            <w:vAlign w:val="center"/>
          </w:tcPr>
          <w:p w14:paraId="5F4CA2DA"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Arial" w:hint="eastAsia"/>
                <w:kern w:val="0"/>
                <w:szCs w:val="21"/>
              </w:rPr>
              <w:t>项目</w:t>
            </w:r>
          </w:p>
        </w:tc>
        <w:tc>
          <w:tcPr>
            <w:tcW w:w="0" w:type="auto"/>
            <w:vAlign w:val="center"/>
          </w:tcPr>
          <w:p w14:paraId="1A106242"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kern w:val="24"/>
                <w:szCs w:val="21"/>
              </w:rPr>
              <w:t>评分内容</w:t>
            </w:r>
          </w:p>
        </w:tc>
        <w:tc>
          <w:tcPr>
            <w:tcW w:w="0" w:type="auto"/>
            <w:vAlign w:val="center"/>
          </w:tcPr>
          <w:p w14:paraId="01964862"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分值</w:t>
            </w:r>
          </w:p>
        </w:tc>
        <w:tc>
          <w:tcPr>
            <w:tcW w:w="1077" w:type="dxa"/>
            <w:vAlign w:val="center"/>
          </w:tcPr>
          <w:p w14:paraId="7D63993C"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学生自评</w:t>
            </w:r>
          </w:p>
        </w:tc>
        <w:tc>
          <w:tcPr>
            <w:tcW w:w="1077" w:type="dxa"/>
            <w:vAlign w:val="center"/>
          </w:tcPr>
          <w:p w14:paraId="70FA977E"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小组互评</w:t>
            </w:r>
          </w:p>
        </w:tc>
        <w:tc>
          <w:tcPr>
            <w:tcW w:w="1077" w:type="dxa"/>
            <w:vAlign w:val="center"/>
          </w:tcPr>
          <w:p w14:paraId="5892BC86"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教师评价</w:t>
            </w:r>
          </w:p>
        </w:tc>
      </w:tr>
      <w:tr w:rsidR="00A304B8" w14:paraId="14F823DC" w14:textId="77777777">
        <w:trPr>
          <w:trHeight w:val="312"/>
          <w:jc w:val="center"/>
        </w:trPr>
        <w:tc>
          <w:tcPr>
            <w:tcW w:w="0" w:type="auto"/>
            <w:vAlign w:val="center"/>
          </w:tcPr>
          <w:p w14:paraId="0171E3B2"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hint="eastAsia"/>
                <w:kern w:val="24"/>
                <w:szCs w:val="21"/>
              </w:rPr>
              <w:t>任务</w:t>
            </w:r>
            <w:r>
              <w:rPr>
                <w:rFonts w:asciiTheme="minorEastAsia" w:hAnsiTheme="minorEastAsia" w:cs="宋体"/>
                <w:kern w:val="24"/>
                <w:szCs w:val="21"/>
              </w:rPr>
              <w:t>撰写</w:t>
            </w:r>
          </w:p>
        </w:tc>
        <w:tc>
          <w:tcPr>
            <w:tcW w:w="0" w:type="auto"/>
            <w:vAlign w:val="center"/>
          </w:tcPr>
          <w:p w14:paraId="0938C529"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kern w:val="24"/>
                <w:szCs w:val="21"/>
              </w:rPr>
              <w:t>紧扣主题</w:t>
            </w:r>
            <w:r>
              <w:rPr>
                <w:rFonts w:asciiTheme="minorEastAsia" w:hAnsiTheme="minorEastAsia" w:cs="宋体" w:hint="eastAsia"/>
                <w:kern w:val="24"/>
                <w:szCs w:val="21"/>
              </w:rPr>
              <w:t>、</w:t>
            </w:r>
            <w:r>
              <w:rPr>
                <w:rFonts w:asciiTheme="minorEastAsia" w:hAnsiTheme="minorEastAsia" w:cs="宋体"/>
                <w:kern w:val="24"/>
                <w:szCs w:val="21"/>
              </w:rPr>
              <w:t>内容完整</w:t>
            </w:r>
          </w:p>
        </w:tc>
        <w:tc>
          <w:tcPr>
            <w:tcW w:w="0" w:type="auto"/>
            <w:vAlign w:val="center"/>
          </w:tcPr>
          <w:p w14:paraId="61F070CA"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50分</w:t>
            </w:r>
          </w:p>
        </w:tc>
        <w:tc>
          <w:tcPr>
            <w:tcW w:w="1077" w:type="dxa"/>
            <w:vAlign w:val="center"/>
          </w:tcPr>
          <w:p w14:paraId="6023D1E1" w14:textId="77777777" w:rsidR="00A304B8" w:rsidRDefault="00A304B8">
            <w:pPr>
              <w:widowControl/>
              <w:jc w:val="center"/>
              <w:rPr>
                <w:rFonts w:asciiTheme="minorEastAsia" w:hAnsiTheme="minorEastAsia" w:cs="宋体" w:hint="eastAsia"/>
                <w:kern w:val="24"/>
                <w:szCs w:val="21"/>
              </w:rPr>
            </w:pPr>
          </w:p>
        </w:tc>
        <w:tc>
          <w:tcPr>
            <w:tcW w:w="1077" w:type="dxa"/>
            <w:vAlign w:val="center"/>
          </w:tcPr>
          <w:p w14:paraId="59379AD3" w14:textId="77777777" w:rsidR="00A304B8" w:rsidRDefault="00A304B8">
            <w:pPr>
              <w:widowControl/>
              <w:jc w:val="center"/>
              <w:rPr>
                <w:rFonts w:asciiTheme="minorEastAsia" w:hAnsiTheme="minorEastAsia" w:cs="宋体" w:hint="eastAsia"/>
                <w:kern w:val="24"/>
                <w:szCs w:val="21"/>
              </w:rPr>
            </w:pPr>
          </w:p>
        </w:tc>
        <w:tc>
          <w:tcPr>
            <w:tcW w:w="1077" w:type="dxa"/>
            <w:vAlign w:val="center"/>
          </w:tcPr>
          <w:p w14:paraId="453B74AE" w14:textId="77777777" w:rsidR="00A304B8" w:rsidRDefault="00A304B8">
            <w:pPr>
              <w:widowControl/>
              <w:jc w:val="center"/>
              <w:rPr>
                <w:rFonts w:asciiTheme="minorEastAsia" w:hAnsiTheme="minorEastAsia" w:cs="宋体" w:hint="eastAsia"/>
                <w:kern w:val="24"/>
                <w:szCs w:val="21"/>
              </w:rPr>
            </w:pPr>
          </w:p>
        </w:tc>
      </w:tr>
      <w:tr w:rsidR="00A304B8" w14:paraId="2FFAD5D3" w14:textId="77777777">
        <w:trPr>
          <w:trHeight w:val="312"/>
          <w:jc w:val="center"/>
        </w:trPr>
        <w:tc>
          <w:tcPr>
            <w:tcW w:w="0" w:type="auto"/>
            <w:vAlign w:val="center"/>
          </w:tcPr>
          <w:p w14:paraId="0E8470F0"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kern w:val="24"/>
                <w:szCs w:val="21"/>
              </w:rPr>
              <w:t>解说表达</w:t>
            </w:r>
          </w:p>
        </w:tc>
        <w:tc>
          <w:tcPr>
            <w:tcW w:w="0" w:type="auto"/>
            <w:vAlign w:val="center"/>
          </w:tcPr>
          <w:p w14:paraId="09ED5BA4"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kern w:val="24"/>
                <w:szCs w:val="21"/>
              </w:rPr>
              <w:t>条理清晰</w:t>
            </w:r>
            <w:r>
              <w:rPr>
                <w:rFonts w:asciiTheme="minorEastAsia" w:hAnsiTheme="minorEastAsia" w:cs="宋体" w:hint="eastAsia"/>
                <w:kern w:val="24"/>
                <w:szCs w:val="21"/>
              </w:rPr>
              <w:t>、</w:t>
            </w:r>
            <w:r>
              <w:rPr>
                <w:rFonts w:asciiTheme="minorEastAsia" w:hAnsiTheme="minorEastAsia" w:cs="宋体"/>
                <w:kern w:val="24"/>
                <w:szCs w:val="21"/>
              </w:rPr>
              <w:t>表达严谨</w:t>
            </w:r>
          </w:p>
        </w:tc>
        <w:tc>
          <w:tcPr>
            <w:tcW w:w="0" w:type="auto"/>
            <w:vAlign w:val="center"/>
          </w:tcPr>
          <w:p w14:paraId="71E15BBF"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30分</w:t>
            </w:r>
          </w:p>
        </w:tc>
        <w:tc>
          <w:tcPr>
            <w:tcW w:w="1077" w:type="dxa"/>
            <w:vAlign w:val="center"/>
          </w:tcPr>
          <w:p w14:paraId="6D899EED" w14:textId="77777777" w:rsidR="00A304B8" w:rsidRDefault="00A304B8">
            <w:pPr>
              <w:widowControl/>
              <w:jc w:val="center"/>
              <w:rPr>
                <w:rFonts w:asciiTheme="minorEastAsia" w:hAnsiTheme="minorEastAsia" w:cs="宋体" w:hint="eastAsia"/>
                <w:kern w:val="24"/>
                <w:szCs w:val="21"/>
              </w:rPr>
            </w:pPr>
          </w:p>
        </w:tc>
        <w:tc>
          <w:tcPr>
            <w:tcW w:w="1077" w:type="dxa"/>
            <w:vAlign w:val="center"/>
          </w:tcPr>
          <w:p w14:paraId="53A2E3B5" w14:textId="77777777" w:rsidR="00A304B8" w:rsidRDefault="00A304B8">
            <w:pPr>
              <w:widowControl/>
              <w:jc w:val="center"/>
              <w:rPr>
                <w:rFonts w:asciiTheme="minorEastAsia" w:hAnsiTheme="minorEastAsia" w:cs="宋体" w:hint="eastAsia"/>
                <w:kern w:val="24"/>
                <w:szCs w:val="21"/>
              </w:rPr>
            </w:pPr>
          </w:p>
        </w:tc>
        <w:tc>
          <w:tcPr>
            <w:tcW w:w="1077" w:type="dxa"/>
            <w:vAlign w:val="center"/>
          </w:tcPr>
          <w:p w14:paraId="2B06691A" w14:textId="77777777" w:rsidR="00A304B8" w:rsidRDefault="00A304B8">
            <w:pPr>
              <w:widowControl/>
              <w:jc w:val="center"/>
              <w:rPr>
                <w:rFonts w:asciiTheme="minorEastAsia" w:hAnsiTheme="minorEastAsia" w:cs="宋体" w:hint="eastAsia"/>
                <w:kern w:val="24"/>
                <w:szCs w:val="21"/>
              </w:rPr>
            </w:pPr>
          </w:p>
        </w:tc>
      </w:tr>
      <w:tr w:rsidR="00A304B8" w14:paraId="74A6103B" w14:textId="77777777">
        <w:trPr>
          <w:trHeight w:val="312"/>
          <w:jc w:val="center"/>
        </w:trPr>
        <w:tc>
          <w:tcPr>
            <w:tcW w:w="0" w:type="auto"/>
            <w:vAlign w:val="center"/>
          </w:tcPr>
          <w:p w14:paraId="44E9CF27"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kern w:val="24"/>
                <w:szCs w:val="21"/>
              </w:rPr>
              <w:t>团队参与</w:t>
            </w:r>
          </w:p>
        </w:tc>
        <w:tc>
          <w:tcPr>
            <w:tcW w:w="0" w:type="auto"/>
            <w:vAlign w:val="center"/>
          </w:tcPr>
          <w:p w14:paraId="58BCDA4B" w14:textId="77777777" w:rsidR="00A304B8" w:rsidRDefault="00000000">
            <w:pPr>
              <w:widowControl/>
              <w:jc w:val="center"/>
              <w:rPr>
                <w:rFonts w:asciiTheme="minorEastAsia" w:hAnsiTheme="minorEastAsia" w:cs="Arial" w:hint="eastAsia"/>
                <w:kern w:val="0"/>
                <w:szCs w:val="21"/>
              </w:rPr>
            </w:pPr>
            <w:r>
              <w:rPr>
                <w:rFonts w:asciiTheme="minorEastAsia" w:hAnsiTheme="minorEastAsia" w:cs="宋体"/>
                <w:kern w:val="24"/>
                <w:szCs w:val="21"/>
              </w:rPr>
              <w:t>分工明确</w:t>
            </w:r>
            <w:r>
              <w:rPr>
                <w:rFonts w:asciiTheme="minorEastAsia" w:hAnsiTheme="minorEastAsia" w:cs="宋体" w:hint="eastAsia"/>
                <w:kern w:val="24"/>
                <w:szCs w:val="21"/>
              </w:rPr>
              <w:t>、</w:t>
            </w:r>
            <w:r>
              <w:rPr>
                <w:rFonts w:asciiTheme="minorEastAsia" w:hAnsiTheme="minorEastAsia" w:cs="宋体"/>
                <w:kern w:val="24"/>
                <w:szCs w:val="21"/>
              </w:rPr>
              <w:t>相互协作</w:t>
            </w:r>
          </w:p>
        </w:tc>
        <w:tc>
          <w:tcPr>
            <w:tcW w:w="0" w:type="auto"/>
            <w:vAlign w:val="center"/>
          </w:tcPr>
          <w:p w14:paraId="600F41E4" w14:textId="77777777" w:rsidR="00A304B8" w:rsidRDefault="00000000">
            <w:pPr>
              <w:widowControl/>
              <w:jc w:val="center"/>
              <w:rPr>
                <w:rFonts w:asciiTheme="minorEastAsia" w:hAnsiTheme="minorEastAsia" w:cs="宋体" w:hint="eastAsia"/>
                <w:kern w:val="24"/>
                <w:szCs w:val="21"/>
              </w:rPr>
            </w:pPr>
            <w:r>
              <w:rPr>
                <w:rFonts w:asciiTheme="minorEastAsia" w:hAnsiTheme="minorEastAsia" w:cs="宋体" w:hint="eastAsia"/>
                <w:kern w:val="24"/>
                <w:szCs w:val="21"/>
              </w:rPr>
              <w:t>20分</w:t>
            </w:r>
          </w:p>
        </w:tc>
        <w:tc>
          <w:tcPr>
            <w:tcW w:w="1077" w:type="dxa"/>
            <w:vAlign w:val="center"/>
          </w:tcPr>
          <w:p w14:paraId="445FAF14" w14:textId="77777777" w:rsidR="00A304B8" w:rsidRDefault="00A304B8">
            <w:pPr>
              <w:widowControl/>
              <w:jc w:val="center"/>
              <w:rPr>
                <w:rFonts w:asciiTheme="minorEastAsia" w:hAnsiTheme="minorEastAsia" w:cs="宋体" w:hint="eastAsia"/>
                <w:kern w:val="24"/>
                <w:szCs w:val="21"/>
              </w:rPr>
            </w:pPr>
          </w:p>
        </w:tc>
        <w:tc>
          <w:tcPr>
            <w:tcW w:w="1077" w:type="dxa"/>
            <w:vAlign w:val="center"/>
          </w:tcPr>
          <w:p w14:paraId="25CC77A5" w14:textId="77777777" w:rsidR="00A304B8" w:rsidRDefault="00A304B8">
            <w:pPr>
              <w:widowControl/>
              <w:jc w:val="center"/>
              <w:rPr>
                <w:rFonts w:asciiTheme="minorEastAsia" w:hAnsiTheme="minorEastAsia" w:cs="宋体" w:hint="eastAsia"/>
                <w:kern w:val="24"/>
                <w:szCs w:val="21"/>
              </w:rPr>
            </w:pPr>
          </w:p>
        </w:tc>
        <w:tc>
          <w:tcPr>
            <w:tcW w:w="1077" w:type="dxa"/>
            <w:vAlign w:val="center"/>
          </w:tcPr>
          <w:p w14:paraId="3016C591" w14:textId="77777777" w:rsidR="00A304B8" w:rsidRDefault="00A304B8">
            <w:pPr>
              <w:widowControl/>
              <w:jc w:val="center"/>
              <w:rPr>
                <w:rFonts w:asciiTheme="minorEastAsia" w:hAnsiTheme="minorEastAsia" w:cs="宋体" w:hint="eastAsia"/>
                <w:kern w:val="24"/>
                <w:szCs w:val="21"/>
              </w:rPr>
            </w:pPr>
          </w:p>
        </w:tc>
      </w:tr>
    </w:tbl>
    <w:p w14:paraId="21C9AF5B" w14:textId="77777777" w:rsidR="00A304B8" w:rsidRDefault="00000000" w:rsidP="00400223">
      <w:pPr>
        <w:spacing w:line="400" w:lineRule="exact"/>
        <w:jc w:val="center"/>
        <w:rPr>
          <w:rFonts w:asciiTheme="minorEastAsia" w:hAnsiTheme="minorEastAsia" w:cstheme="minorEastAsia" w:hint="eastAsia"/>
          <w:szCs w:val="21"/>
        </w:rPr>
      </w:pPr>
      <w:r>
        <w:rPr>
          <w:rFonts w:asciiTheme="minorEastAsia" w:hAnsiTheme="minorEastAsia" w:cstheme="minorEastAsia" w:hint="eastAsia"/>
          <w:szCs w:val="21"/>
        </w:rPr>
        <w:t>表2：自我评价量表</w:t>
      </w:r>
    </w:p>
    <w:tbl>
      <w:tblPr>
        <w:tblStyle w:val="a9"/>
        <w:tblW w:w="7083" w:type="dxa"/>
        <w:jc w:val="center"/>
        <w:tblLook w:val="04A0" w:firstRow="1" w:lastRow="0" w:firstColumn="1" w:lastColumn="0" w:noHBand="0" w:noVBand="1"/>
      </w:tblPr>
      <w:tblGrid>
        <w:gridCol w:w="1271"/>
        <w:gridCol w:w="3827"/>
        <w:gridCol w:w="1985"/>
      </w:tblGrid>
      <w:tr w:rsidR="00A304B8" w14:paraId="17980730" w14:textId="77777777">
        <w:trPr>
          <w:trHeight w:val="170"/>
          <w:jc w:val="center"/>
        </w:trPr>
        <w:tc>
          <w:tcPr>
            <w:tcW w:w="1271" w:type="dxa"/>
            <w:vAlign w:val="center"/>
          </w:tcPr>
          <w:p w14:paraId="5158FCB7"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项目</w:t>
            </w:r>
          </w:p>
        </w:tc>
        <w:tc>
          <w:tcPr>
            <w:tcW w:w="3827" w:type="dxa"/>
            <w:vAlign w:val="center"/>
          </w:tcPr>
          <w:p w14:paraId="5DE3DD55"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评价标准</w:t>
            </w:r>
          </w:p>
        </w:tc>
        <w:tc>
          <w:tcPr>
            <w:tcW w:w="1985" w:type="dxa"/>
            <w:vAlign w:val="center"/>
          </w:tcPr>
          <w:p w14:paraId="09AEF274"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达成度</w:t>
            </w:r>
          </w:p>
        </w:tc>
      </w:tr>
      <w:tr w:rsidR="00A304B8" w14:paraId="408807D4" w14:textId="77777777">
        <w:trPr>
          <w:trHeight w:val="170"/>
          <w:jc w:val="center"/>
        </w:trPr>
        <w:tc>
          <w:tcPr>
            <w:tcW w:w="1271" w:type="dxa"/>
            <w:vAlign w:val="center"/>
          </w:tcPr>
          <w:p w14:paraId="3E587502"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课堂纪律</w:t>
            </w:r>
          </w:p>
        </w:tc>
        <w:tc>
          <w:tcPr>
            <w:tcW w:w="3827" w:type="dxa"/>
            <w:vAlign w:val="center"/>
          </w:tcPr>
          <w:p w14:paraId="628DACE2"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积极思考、主动回答</w:t>
            </w:r>
          </w:p>
          <w:p w14:paraId="702E4E2A"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尊重他人、认真笔记</w:t>
            </w:r>
          </w:p>
        </w:tc>
        <w:tc>
          <w:tcPr>
            <w:tcW w:w="1985" w:type="dxa"/>
            <w:vAlign w:val="center"/>
          </w:tcPr>
          <w:p w14:paraId="3B7988F6"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低○ 中○ 高○</w:t>
            </w:r>
          </w:p>
        </w:tc>
      </w:tr>
      <w:tr w:rsidR="00A304B8" w14:paraId="00B03A44" w14:textId="77777777">
        <w:trPr>
          <w:trHeight w:val="170"/>
          <w:jc w:val="center"/>
        </w:trPr>
        <w:tc>
          <w:tcPr>
            <w:tcW w:w="1271" w:type="dxa"/>
            <w:vAlign w:val="center"/>
          </w:tcPr>
          <w:p w14:paraId="3DA12E47"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任务完成</w:t>
            </w:r>
          </w:p>
        </w:tc>
        <w:tc>
          <w:tcPr>
            <w:tcW w:w="3827" w:type="dxa"/>
            <w:vAlign w:val="center"/>
          </w:tcPr>
          <w:p w14:paraId="6B792099"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积极合作、主动参与</w:t>
            </w:r>
          </w:p>
          <w:p w14:paraId="20E48060"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条理清晰、表达严谨</w:t>
            </w:r>
          </w:p>
        </w:tc>
        <w:tc>
          <w:tcPr>
            <w:tcW w:w="1985" w:type="dxa"/>
            <w:vAlign w:val="center"/>
          </w:tcPr>
          <w:p w14:paraId="791DA0D6"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position w:val="1"/>
                <w:szCs w:val="21"/>
              </w:rPr>
              <w:t>低</w:t>
            </w:r>
            <w:r>
              <w:rPr>
                <w:rFonts w:ascii="宋体" w:eastAsia="宋体" w:hAnsi="宋体" w:cs="MiSans Bold" w:hint="eastAsia"/>
                <w:kern w:val="24"/>
                <w:szCs w:val="21"/>
              </w:rPr>
              <w:t xml:space="preserve">○ </w:t>
            </w:r>
            <w:r>
              <w:rPr>
                <w:rFonts w:ascii="宋体" w:eastAsia="宋体" w:hAnsi="宋体" w:cs="MiSans Bold" w:hint="eastAsia"/>
                <w:kern w:val="24"/>
                <w:position w:val="1"/>
                <w:szCs w:val="21"/>
              </w:rPr>
              <w:t>中</w:t>
            </w:r>
            <w:r>
              <w:rPr>
                <w:rFonts w:ascii="宋体" w:eastAsia="宋体" w:hAnsi="宋体" w:cs="MiSans Bold" w:hint="eastAsia"/>
                <w:kern w:val="24"/>
                <w:szCs w:val="21"/>
              </w:rPr>
              <w:t xml:space="preserve">○ </w:t>
            </w:r>
            <w:r>
              <w:rPr>
                <w:rFonts w:ascii="宋体" w:eastAsia="宋体" w:hAnsi="宋体" w:cs="MiSans Bold" w:hint="eastAsia"/>
                <w:kern w:val="24"/>
                <w:position w:val="1"/>
                <w:szCs w:val="21"/>
              </w:rPr>
              <w:t>高</w:t>
            </w:r>
            <w:r>
              <w:rPr>
                <w:rFonts w:ascii="宋体" w:eastAsia="宋体" w:hAnsi="宋体" w:cs="MiSans Bold" w:hint="eastAsia"/>
                <w:kern w:val="24"/>
                <w:szCs w:val="21"/>
              </w:rPr>
              <w:t>○</w:t>
            </w:r>
          </w:p>
        </w:tc>
      </w:tr>
      <w:tr w:rsidR="00A304B8" w14:paraId="639483CF" w14:textId="77777777">
        <w:trPr>
          <w:trHeight w:val="170"/>
          <w:jc w:val="center"/>
        </w:trPr>
        <w:tc>
          <w:tcPr>
            <w:tcW w:w="1271" w:type="dxa"/>
            <w:vAlign w:val="center"/>
          </w:tcPr>
          <w:p w14:paraId="03B7F462"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目标达成</w:t>
            </w:r>
          </w:p>
        </w:tc>
        <w:tc>
          <w:tcPr>
            <w:tcW w:w="3827" w:type="dxa"/>
            <w:vAlign w:val="center"/>
          </w:tcPr>
          <w:p w14:paraId="4327177D"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szCs w:val="21"/>
              </w:rPr>
              <w:t>关爱他人、服务社会</w:t>
            </w:r>
          </w:p>
        </w:tc>
        <w:tc>
          <w:tcPr>
            <w:tcW w:w="1985" w:type="dxa"/>
            <w:vAlign w:val="center"/>
          </w:tcPr>
          <w:p w14:paraId="4DBCEB1D" w14:textId="77777777" w:rsidR="00A304B8" w:rsidRDefault="00000000">
            <w:pPr>
              <w:widowControl/>
              <w:jc w:val="center"/>
              <w:rPr>
                <w:rFonts w:ascii="宋体" w:eastAsia="宋体" w:hAnsi="宋体" w:cs="Arial" w:hint="eastAsia"/>
                <w:kern w:val="0"/>
                <w:szCs w:val="21"/>
              </w:rPr>
            </w:pPr>
            <w:r>
              <w:rPr>
                <w:rFonts w:ascii="宋体" w:eastAsia="宋体" w:hAnsi="宋体" w:cs="MiSans Bold" w:hint="eastAsia"/>
                <w:kern w:val="24"/>
                <w:position w:val="1"/>
                <w:szCs w:val="21"/>
              </w:rPr>
              <w:t>低</w:t>
            </w:r>
            <w:r>
              <w:rPr>
                <w:rFonts w:ascii="宋体" w:eastAsia="宋体" w:hAnsi="宋体" w:cs="MiSans Bold" w:hint="eastAsia"/>
                <w:kern w:val="24"/>
                <w:szCs w:val="21"/>
              </w:rPr>
              <w:t xml:space="preserve">○ </w:t>
            </w:r>
            <w:r>
              <w:rPr>
                <w:rFonts w:ascii="宋体" w:eastAsia="宋体" w:hAnsi="宋体" w:cs="MiSans Bold" w:hint="eastAsia"/>
                <w:kern w:val="24"/>
                <w:position w:val="1"/>
                <w:szCs w:val="21"/>
              </w:rPr>
              <w:t>中</w:t>
            </w:r>
            <w:r>
              <w:rPr>
                <w:rFonts w:ascii="宋体" w:eastAsia="宋体" w:hAnsi="宋体" w:cs="MiSans Bold" w:hint="eastAsia"/>
                <w:kern w:val="24"/>
                <w:szCs w:val="21"/>
              </w:rPr>
              <w:t xml:space="preserve">○ </w:t>
            </w:r>
            <w:r>
              <w:rPr>
                <w:rFonts w:ascii="宋体" w:eastAsia="宋体" w:hAnsi="宋体" w:cs="MiSans Bold" w:hint="eastAsia"/>
                <w:kern w:val="24"/>
                <w:position w:val="1"/>
                <w:szCs w:val="21"/>
              </w:rPr>
              <w:t>高</w:t>
            </w:r>
            <w:r>
              <w:rPr>
                <w:rFonts w:ascii="宋体" w:eastAsia="宋体" w:hAnsi="宋体" w:cs="MiSans Bold" w:hint="eastAsia"/>
                <w:kern w:val="24"/>
                <w:szCs w:val="21"/>
              </w:rPr>
              <w:t>○</w:t>
            </w:r>
          </w:p>
        </w:tc>
      </w:tr>
    </w:tbl>
    <w:p w14:paraId="539198F4" w14:textId="77777777"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重视教学评价的即时性，提供学生问题意识的延续反馈。教学评一致性强调教学评价的多样性和即时性，在课堂中进行议题任务时，任务的展开应该是有方向的。我们在进行议学</w:t>
      </w:r>
      <w:r>
        <w:rPr>
          <w:rFonts w:asciiTheme="minorEastAsia" w:hAnsiTheme="minorEastAsia" w:cstheme="minorEastAsia" w:hint="eastAsia"/>
          <w:szCs w:val="21"/>
        </w:rPr>
        <w:lastRenderedPageBreak/>
        <w:t>任务三“书写伟大”的过程中，给学生提供任务评价量表（表1），从任务内容的撰写、学生表达的表现、小组合作的情况进行综合评价，从学生自评、小组互评和教师评价三个角度即时给出评价，让学生在课堂中对学生的问题提供即时的反馈，关注综合能力的提高。</w:t>
      </w:r>
    </w:p>
    <w:p w14:paraId="13A5B30B" w14:textId="1928FCB5"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强化教学评价的素养性，引导学生问题意识的持续反思。对学生的核心素养发展状况进行评价，我们以学历案中的课后自我评价表（表2）为依据，让学生对自己的表现进行反思，观测自身本课题知情行的达成程度。学生填写反思评价表进行自我核查，关注自身对教学内容的掌握情况、问题解决的程度、思维发展的方向以及学科核心素养水平的发展等，从而在知识获取、能力提升和品格淬炼的过程中实现教学评的良性循环，提升学科核心素养。</w:t>
      </w:r>
    </w:p>
    <w:p w14:paraId="56D25DC6" w14:textId="4B3B8CF7" w:rsidR="00A304B8" w:rsidRDefault="00000000">
      <w:pPr>
        <w:spacing w:line="400" w:lineRule="exact"/>
        <w:ind w:firstLineChars="200" w:firstLine="420"/>
        <w:rPr>
          <w:rFonts w:asciiTheme="minorEastAsia" w:hAnsiTheme="minorEastAsia" w:cstheme="minorEastAsia" w:hint="eastAsia"/>
          <w:szCs w:val="21"/>
        </w:rPr>
      </w:pPr>
      <w:r>
        <w:rPr>
          <w:rFonts w:asciiTheme="minorEastAsia" w:hAnsiTheme="minorEastAsia" w:cstheme="minorEastAsia" w:hint="eastAsia"/>
          <w:szCs w:val="21"/>
        </w:rPr>
        <w:t>加强教学评价的指向性，激励学生问题意识的接续跟进。教学评一致性理念倡导开放性、情境性、体验式的作业设计，所以课后延伸时，教师除却要围绕知识达成设置作业试题，</w:t>
      </w:r>
      <w:r w:rsidR="00F65A26">
        <w:rPr>
          <w:rFonts w:asciiTheme="minorEastAsia" w:hAnsiTheme="minorEastAsia" w:cstheme="minorEastAsia" w:hint="eastAsia"/>
          <w:szCs w:val="21"/>
        </w:rPr>
        <w:t>还</w:t>
      </w:r>
      <w:r>
        <w:rPr>
          <w:rFonts w:asciiTheme="minorEastAsia" w:hAnsiTheme="minorEastAsia" w:cstheme="minorEastAsia" w:hint="eastAsia"/>
          <w:szCs w:val="21"/>
        </w:rPr>
        <w:t>可以设计与课堂内容相关且具有一定深度和广度的</w:t>
      </w:r>
      <w:r w:rsidR="00F65A26">
        <w:rPr>
          <w:rFonts w:asciiTheme="minorEastAsia" w:hAnsiTheme="minorEastAsia" w:cstheme="minorEastAsia" w:hint="eastAsia"/>
          <w:szCs w:val="21"/>
        </w:rPr>
        <w:t>导行任务</w:t>
      </w:r>
      <w:r>
        <w:rPr>
          <w:rFonts w:asciiTheme="minorEastAsia" w:hAnsiTheme="minorEastAsia" w:cstheme="minorEastAsia" w:hint="eastAsia"/>
          <w:szCs w:val="21"/>
        </w:rPr>
        <w:t>，引导学生深入思考和探究。课后我布置实践性作业：以小组为单位，制定一份微公益活动策划方案，通过此种方式，引导学生不断提高自身关爱他人</w:t>
      </w:r>
      <w:r w:rsidR="00EF5010">
        <w:rPr>
          <w:rFonts w:asciiTheme="minorEastAsia" w:hAnsiTheme="minorEastAsia" w:cstheme="minorEastAsia" w:hint="eastAsia"/>
          <w:szCs w:val="21"/>
        </w:rPr>
        <w:t>、</w:t>
      </w:r>
      <w:r>
        <w:rPr>
          <w:rFonts w:asciiTheme="minorEastAsia" w:hAnsiTheme="minorEastAsia" w:cstheme="minorEastAsia" w:hint="eastAsia"/>
          <w:szCs w:val="21"/>
        </w:rPr>
        <w:t>服务社会的能力，将关爱他人、服务社会落实到行动中。</w:t>
      </w:r>
    </w:p>
    <w:p w14:paraId="5F645848" w14:textId="77777777" w:rsidR="00A304B8" w:rsidRDefault="00000000">
      <w:pPr>
        <w:spacing w:line="400" w:lineRule="exact"/>
        <w:ind w:firstLineChars="200" w:firstLine="420"/>
        <w:rPr>
          <w:rFonts w:ascii="宋体" w:eastAsia="宋体" w:hAnsi="宋体" w:cs="宋体" w:hint="eastAsia"/>
          <w:sz w:val="24"/>
        </w:rPr>
      </w:pPr>
      <w:r>
        <w:rPr>
          <w:rFonts w:asciiTheme="minorEastAsia" w:hAnsiTheme="minorEastAsia" w:cstheme="minorEastAsia" w:hint="eastAsia"/>
          <w:szCs w:val="21"/>
        </w:rPr>
        <w:t>总之，思政课要通过多种手段将教、学、评循环起来，激发学生真思真辩真评，培养学生发现问题、提出问题、解决问题的能力，助推问题意识的培养，让核心素养真正落地生根。</w:t>
      </w:r>
    </w:p>
    <w:sectPr w:rsidR="00A304B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FBD65" w14:textId="77777777" w:rsidR="00453E41" w:rsidRDefault="00453E41">
      <w:r>
        <w:separator/>
      </w:r>
    </w:p>
  </w:endnote>
  <w:endnote w:type="continuationSeparator" w:id="0">
    <w:p w14:paraId="28EB75ED" w14:textId="77777777" w:rsidR="00453E41" w:rsidRDefault="0045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Sans 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2A4F" w14:textId="77777777" w:rsidR="00A304B8" w:rsidRDefault="00000000">
    <w:pPr>
      <w:pStyle w:val="a5"/>
    </w:pPr>
    <w:r>
      <w:rPr>
        <w:noProof/>
      </w:rPr>
      <mc:AlternateContent>
        <mc:Choice Requires="wps">
          <w:drawing>
            <wp:anchor distT="0" distB="0" distL="114300" distR="114300" simplePos="0" relativeHeight="251659264" behindDoc="0" locked="0" layoutInCell="1" allowOverlap="1" wp14:anchorId="2919F231" wp14:editId="636D17A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1DB1A" w14:textId="77777777" w:rsidR="00A304B8"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19F23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B31DB1A" w14:textId="77777777" w:rsidR="00A304B8"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0C28F" w14:textId="77777777" w:rsidR="00453E41" w:rsidRDefault="00453E41">
      <w:r>
        <w:separator/>
      </w:r>
    </w:p>
  </w:footnote>
  <w:footnote w:type="continuationSeparator" w:id="0">
    <w:p w14:paraId="60B2EFB6" w14:textId="77777777" w:rsidR="00453E41" w:rsidRDefault="00453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wODkzNDBlYzI2ZDI4ODU5MTFjNjFiOGY2OGRjYTgifQ=="/>
  </w:docVars>
  <w:rsids>
    <w:rsidRoot w:val="00D337C2"/>
    <w:rsid w:val="000034AF"/>
    <w:rsid w:val="00003DE7"/>
    <w:rsid w:val="000127B3"/>
    <w:rsid w:val="000248D7"/>
    <w:rsid w:val="000310B1"/>
    <w:rsid w:val="000324AA"/>
    <w:rsid w:val="00046826"/>
    <w:rsid w:val="000541C6"/>
    <w:rsid w:val="00060695"/>
    <w:rsid w:val="00064775"/>
    <w:rsid w:val="000648EE"/>
    <w:rsid w:val="00066458"/>
    <w:rsid w:val="00067F23"/>
    <w:rsid w:val="00071AE8"/>
    <w:rsid w:val="00074CAD"/>
    <w:rsid w:val="00093DB2"/>
    <w:rsid w:val="00093E4C"/>
    <w:rsid w:val="000961CE"/>
    <w:rsid w:val="000A082E"/>
    <w:rsid w:val="000B5281"/>
    <w:rsid w:val="000B5A04"/>
    <w:rsid w:val="000D0442"/>
    <w:rsid w:val="000D4BF1"/>
    <w:rsid w:val="001142B8"/>
    <w:rsid w:val="00121594"/>
    <w:rsid w:val="001379C4"/>
    <w:rsid w:val="00144739"/>
    <w:rsid w:val="00147089"/>
    <w:rsid w:val="0015153B"/>
    <w:rsid w:val="001557C7"/>
    <w:rsid w:val="001629F0"/>
    <w:rsid w:val="0017395D"/>
    <w:rsid w:val="00177DCC"/>
    <w:rsid w:val="00185090"/>
    <w:rsid w:val="00196185"/>
    <w:rsid w:val="001A0B85"/>
    <w:rsid w:val="001B5DD8"/>
    <w:rsid w:val="001B6504"/>
    <w:rsid w:val="001D0B40"/>
    <w:rsid w:val="001E61B7"/>
    <w:rsid w:val="001E7DEC"/>
    <w:rsid w:val="001F0ACB"/>
    <w:rsid w:val="00200589"/>
    <w:rsid w:val="002013D6"/>
    <w:rsid w:val="002114FA"/>
    <w:rsid w:val="00225663"/>
    <w:rsid w:val="00231B7E"/>
    <w:rsid w:val="00246D2E"/>
    <w:rsid w:val="00247640"/>
    <w:rsid w:val="0025101E"/>
    <w:rsid w:val="00266B6E"/>
    <w:rsid w:val="00272171"/>
    <w:rsid w:val="00276274"/>
    <w:rsid w:val="0027627D"/>
    <w:rsid w:val="00285C34"/>
    <w:rsid w:val="002A2C30"/>
    <w:rsid w:val="002B3059"/>
    <w:rsid w:val="002B455A"/>
    <w:rsid w:val="002B6AB2"/>
    <w:rsid w:val="002C1F0E"/>
    <w:rsid w:val="002C3797"/>
    <w:rsid w:val="002D6806"/>
    <w:rsid w:val="002E18C9"/>
    <w:rsid w:val="002E74F7"/>
    <w:rsid w:val="002F5178"/>
    <w:rsid w:val="00305657"/>
    <w:rsid w:val="003077E8"/>
    <w:rsid w:val="003079A8"/>
    <w:rsid w:val="003221A5"/>
    <w:rsid w:val="00325DEC"/>
    <w:rsid w:val="003268F3"/>
    <w:rsid w:val="003334A3"/>
    <w:rsid w:val="00344336"/>
    <w:rsid w:val="00350ABB"/>
    <w:rsid w:val="00374010"/>
    <w:rsid w:val="00376110"/>
    <w:rsid w:val="00376185"/>
    <w:rsid w:val="00380996"/>
    <w:rsid w:val="00386E8A"/>
    <w:rsid w:val="00387ADA"/>
    <w:rsid w:val="00390751"/>
    <w:rsid w:val="003A4D89"/>
    <w:rsid w:val="003A71E3"/>
    <w:rsid w:val="003B073B"/>
    <w:rsid w:val="003D0F16"/>
    <w:rsid w:val="003D7136"/>
    <w:rsid w:val="003E599A"/>
    <w:rsid w:val="00400223"/>
    <w:rsid w:val="004015C3"/>
    <w:rsid w:val="00415EC6"/>
    <w:rsid w:val="00423275"/>
    <w:rsid w:val="00431892"/>
    <w:rsid w:val="0043485F"/>
    <w:rsid w:val="00436F32"/>
    <w:rsid w:val="0044442A"/>
    <w:rsid w:val="00445FBC"/>
    <w:rsid w:val="004509F2"/>
    <w:rsid w:val="00453E41"/>
    <w:rsid w:val="00456146"/>
    <w:rsid w:val="004719C3"/>
    <w:rsid w:val="004738A0"/>
    <w:rsid w:val="004743F1"/>
    <w:rsid w:val="00495883"/>
    <w:rsid w:val="00497D7E"/>
    <w:rsid w:val="004D1062"/>
    <w:rsid w:val="004D23F1"/>
    <w:rsid w:val="004D4E71"/>
    <w:rsid w:val="004E05CF"/>
    <w:rsid w:val="00504D9B"/>
    <w:rsid w:val="0051578E"/>
    <w:rsid w:val="005179AC"/>
    <w:rsid w:val="00522DB1"/>
    <w:rsid w:val="005248EA"/>
    <w:rsid w:val="0053496F"/>
    <w:rsid w:val="005404E6"/>
    <w:rsid w:val="0056614B"/>
    <w:rsid w:val="0058462E"/>
    <w:rsid w:val="005853B8"/>
    <w:rsid w:val="005B6A21"/>
    <w:rsid w:val="005C5306"/>
    <w:rsid w:val="005D77B7"/>
    <w:rsid w:val="005E3C8E"/>
    <w:rsid w:val="005E610C"/>
    <w:rsid w:val="00601D01"/>
    <w:rsid w:val="006126C5"/>
    <w:rsid w:val="006152C1"/>
    <w:rsid w:val="00615BA1"/>
    <w:rsid w:val="0064554A"/>
    <w:rsid w:val="00650DB5"/>
    <w:rsid w:val="00657227"/>
    <w:rsid w:val="006617A4"/>
    <w:rsid w:val="006657A0"/>
    <w:rsid w:val="0067023B"/>
    <w:rsid w:val="0067119A"/>
    <w:rsid w:val="00685307"/>
    <w:rsid w:val="00685570"/>
    <w:rsid w:val="006928FA"/>
    <w:rsid w:val="006A466B"/>
    <w:rsid w:val="006A4756"/>
    <w:rsid w:val="006B20B7"/>
    <w:rsid w:val="006B7790"/>
    <w:rsid w:val="006D4802"/>
    <w:rsid w:val="006D60F5"/>
    <w:rsid w:val="00705C29"/>
    <w:rsid w:val="007307A0"/>
    <w:rsid w:val="0074751B"/>
    <w:rsid w:val="00782637"/>
    <w:rsid w:val="00782A2E"/>
    <w:rsid w:val="00782E25"/>
    <w:rsid w:val="007961D3"/>
    <w:rsid w:val="00796FEA"/>
    <w:rsid w:val="007A2C34"/>
    <w:rsid w:val="007A4D69"/>
    <w:rsid w:val="007A6D42"/>
    <w:rsid w:val="007B0AD1"/>
    <w:rsid w:val="007C0BD0"/>
    <w:rsid w:val="007C5A46"/>
    <w:rsid w:val="007E6161"/>
    <w:rsid w:val="007F0950"/>
    <w:rsid w:val="00802296"/>
    <w:rsid w:val="008238C4"/>
    <w:rsid w:val="00823A08"/>
    <w:rsid w:val="00850AEA"/>
    <w:rsid w:val="00855F35"/>
    <w:rsid w:val="008561BF"/>
    <w:rsid w:val="008613F2"/>
    <w:rsid w:val="008710A8"/>
    <w:rsid w:val="0087342A"/>
    <w:rsid w:val="00874034"/>
    <w:rsid w:val="008770A0"/>
    <w:rsid w:val="0088739F"/>
    <w:rsid w:val="00887AED"/>
    <w:rsid w:val="00893F22"/>
    <w:rsid w:val="008A233D"/>
    <w:rsid w:val="008A48F9"/>
    <w:rsid w:val="008A5F67"/>
    <w:rsid w:val="008B5109"/>
    <w:rsid w:val="008C0081"/>
    <w:rsid w:val="008D32EC"/>
    <w:rsid w:val="008D5E63"/>
    <w:rsid w:val="008E0A86"/>
    <w:rsid w:val="008E6696"/>
    <w:rsid w:val="008F2F21"/>
    <w:rsid w:val="008F45F0"/>
    <w:rsid w:val="008F4F68"/>
    <w:rsid w:val="00905774"/>
    <w:rsid w:val="00911567"/>
    <w:rsid w:val="00917A6B"/>
    <w:rsid w:val="00922498"/>
    <w:rsid w:val="00930122"/>
    <w:rsid w:val="009312F8"/>
    <w:rsid w:val="00933488"/>
    <w:rsid w:val="00933A37"/>
    <w:rsid w:val="00937756"/>
    <w:rsid w:val="00966864"/>
    <w:rsid w:val="00974D90"/>
    <w:rsid w:val="00992DFF"/>
    <w:rsid w:val="009A3F5B"/>
    <w:rsid w:val="009B7793"/>
    <w:rsid w:val="009C3ACB"/>
    <w:rsid w:val="00A022AD"/>
    <w:rsid w:val="00A05890"/>
    <w:rsid w:val="00A11A1E"/>
    <w:rsid w:val="00A12FC5"/>
    <w:rsid w:val="00A304B8"/>
    <w:rsid w:val="00A329B1"/>
    <w:rsid w:val="00A370A8"/>
    <w:rsid w:val="00A52385"/>
    <w:rsid w:val="00A56D8E"/>
    <w:rsid w:val="00A62FE9"/>
    <w:rsid w:val="00A647AE"/>
    <w:rsid w:val="00A677CD"/>
    <w:rsid w:val="00A8029C"/>
    <w:rsid w:val="00A84955"/>
    <w:rsid w:val="00AA04EC"/>
    <w:rsid w:val="00AB3DC2"/>
    <w:rsid w:val="00AC2119"/>
    <w:rsid w:val="00AD107F"/>
    <w:rsid w:val="00AD253E"/>
    <w:rsid w:val="00AD7270"/>
    <w:rsid w:val="00AF1C96"/>
    <w:rsid w:val="00B03D74"/>
    <w:rsid w:val="00B04CA3"/>
    <w:rsid w:val="00B07B0A"/>
    <w:rsid w:val="00B266D3"/>
    <w:rsid w:val="00B26EB9"/>
    <w:rsid w:val="00B43539"/>
    <w:rsid w:val="00B47657"/>
    <w:rsid w:val="00B6159E"/>
    <w:rsid w:val="00B90C5B"/>
    <w:rsid w:val="00B93993"/>
    <w:rsid w:val="00B96F64"/>
    <w:rsid w:val="00BA4C16"/>
    <w:rsid w:val="00BB1D08"/>
    <w:rsid w:val="00BB237C"/>
    <w:rsid w:val="00BC27B4"/>
    <w:rsid w:val="00BD2E26"/>
    <w:rsid w:val="00BD507B"/>
    <w:rsid w:val="00C07CC2"/>
    <w:rsid w:val="00C10014"/>
    <w:rsid w:val="00C1146C"/>
    <w:rsid w:val="00C17C30"/>
    <w:rsid w:val="00C20281"/>
    <w:rsid w:val="00C26397"/>
    <w:rsid w:val="00C3237E"/>
    <w:rsid w:val="00C60D3F"/>
    <w:rsid w:val="00C74646"/>
    <w:rsid w:val="00C93C0D"/>
    <w:rsid w:val="00CA03E8"/>
    <w:rsid w:val="00CB4D3B"/>
    <w:rsid w:val="00CC6560"/>
    <w:rsid w:val="00CD6108"/>
    <w:rsid w:val="00D15391"/>
    <w:rsid w:val="00D16777"/>
    <w:rsid w:val="00D21A8A"/>
    <w:rsid w:val="00D337C2"/>
    <w:rsid w:val="00D40479"/>
    <w:rsid w:val="00D61CCE"/>
    <w:rsid w:val="00D663D7"/>
    <w:rsid w:val="00D71198"/>
    <w:rsid w:val="00D75584"/>
    <w:rsid w:val="00D80A54"/>
    <w:rsid w:val="00D90825"/>
    <w:rsid w:val="00D9498E"/>
    <w:rsid w:val="00D9664B"/>
    <w:rsid w:val="00DB02D6"/>
    <w:rsid w:val="00DB694B"/>
    <w:rsid w:val="00DB74FD"/>
    <w:rsid w:val="00DD4EA3"/>
    <w:rsid w:val="00DE17D0"/>
    <w:rsid w:val="00DE5A5A"/>
    <w:rsid w:val="00DE7539"/>
    <w:rsid w:val="00DF4A39"/>
    <w:rsid w:val="00E138FA"/>
    <w:rsid w:val="00E2243A"/>
    <w:rsid w:val="00E23929"/>
    <w:rsid w:val="00E25BF9"/>
    <w:rsid w:val="00E3088C"/>
    <w:rsid w:val="00E31342"/>
    <w:rsid w:val="00E412E9"/>
    <w:rsid w:val="00E427B2"/>
    <w:rsid w:val="00E670A3"/>
    <w:rsid w:val="00E71BD4"/>
    <w:rsid w:val="00E829D8"/>
    <w:rsid w:val="00E9634E"/>
    <w:rsid w:val="00E97F4B"/>
    <w:rsid w:val="00EA40D2"/>
    <w:rsid w:val="00EC4DD9"/>
    <w:rsid w:val="00ED7AF3"/>
    <w:rsid w:val="00EE2E81"/>
    <w:rsid w:val="00EE5055"/>
    <w:rsid w:val="00EE5904"/>
    <w:rsid w:val="00EF36A3"/>
    <w:rsid w:val="00EF5010"/>
    <w:rsid w:val="00EF6106"/>
    <w:rsid w:val="00F04E05"/>
    <w:rsid w:val="00F119C5"/>
    <w:rsid w:val="00F143C5"/>
    <w:rsid w:val="00F14BA6"/>
    <w:rsid w:val="00F31414"/>
    <w:rsid w:val="00F3462A"/>
    <w:rsid w:val="00F40066"/>
    <w:rsid w:val="00F41B66"/>
    <w:rsid w:val="00F51266"/>
    <w:rsid w:val="00F65A26"/>
    <w:rsid w:val="00F70E51"/>
    <w:rsid w:val="00F710F4"/>
    <w:rsid w:val="00F825E1"/>
    <w:rsid w:val="00F82604"/>
    <w:rsid w:val="00F959BE"/>
    <w:rsid w:val="00FC6CBE"/>
    <w:rsid w:val="00FF389C"/>
    <w:rsid w:val="00FF4904"/>
    <w:rsid w:val="00FF5194"/>
    <w:rsid w:val="03F32749"/>
    <w:rsid w:val="0EA224A6"/>
    <w:rsid w:val="12133E67"/>
    <w:rsid w:val="16F774EA"/>
    <w:rsid w:val="1F3D70FE"/>
    <w:rsid w:val="227E0004"/>
    <w:rsid w:val="25232B0E"/>
    <w:rsid w:val="25A90D41"/>
    <w:rsid w:val="28AF339E"/>
    <w:rsid w:val="2A734FEB"/>
    <w:rsid w:val="2AB7391A"/>
    <w:rsid w:val="2B722141"/>
    <w:rsid w:val="2BA966ED"/>
    <w:rsid w:val="2CBB18A2"/>
    <w:rsid w:val="2D1F4CE2"/>
    <w:rsid w:val="330B56E6"/>
    <w:rsid w:val="33800F3C"/>
    <w:rsid w:val="35653E27"/>
    <w:rsid w:val="36064403"/>
    <w:rsid w:val="36810F25"/>
    <w:rsid w:val="397D1296"/>
    <w:rsid w:val="41B85F36"/>
    <w:rsid w:val="4C714EBE"/>
    <w:rsid w:val="4E196C09"/>
    <w:rsid w:val="4E434405"/>
    <w:rsid w:val="586C6306"/>
    <w:rsid w:val="5E4C67E3"/>
    <w:rsid w:val="5FB92858"/>
    <w:rsid w:val="5FFA229D"/>
    <w:rsid w:val="63512CC8"/>
    <w:rsid w:val="63CB0531"/>
    <w:rsid w:val="693E0221"/>
    <w:rsid w:val="738437CC"/>
    <w:rsid w:val="77A749CF"/>
    <w:rsid w:val="7F53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A01A9"/>
  <w15:docId w15:val="{D9C97EAD-F701-4341-A967-214A8070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qFormat/>
    <w:pPr>
      <w:snapToGrid w:val="0"/>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link w:val="a8"/>
    <w:qFormat/>
    <w:pPr>
      <w:snapToGrid w:val="0"/>
      <w:jc w:val="left"/>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ndnote reference"/>
    <w:basedOn w:val="a0"/>
    <w:qFormat/>
    <w:rPr>
      <w:vertAlign w:val="superscript"/>
    </w:rPr>
  </w:style>
  <w:style w:type="character" w:styleId="ab">
    <w:name w:val="footnote reference"/>
    <w:basedOn w:val="a0"/>
    <w:qFormat/>
    <w:rPr>
      <w:vertAlign w:val="superscript"/>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semiHidden/>
    <w:qFormat/>
    <w:rPr>
      <w:rFonts w:asciiTheme="minorHAnsi" w:eastAsiaTheme="minorEastAsia" w:hAnsiTheme="minorHAnsi" w:cstheme="minorBidi"/>
      <w:b/>
      <w:bCs/>
      <w:kern w:val="2"/>
      <w:sz w:val="32"/>
      <w:szCs w:val="32"/>
    </w:rPr>
  </w:style>
  <w:style w:type="character" w:customStyle="1" w:styleId="a4">
    <w:name w:val="尾注文本 字符"/>
    <w:basedOn w:val="a0"/>
    <w:link w:val="a3"/>
    <w:qFormat/>
    <w:rPr>
      <w:rFonts w:asciiTheme="minorHAnsi" w:eastAsiaTheme="minorEastAsia" w:hAnsiTheme="minorHAnsi" w:cstheme="minorBidi"/>
      <w:kern w:val="2"/>
      <w:sz w:val="21"/>
      <w:szCs w:val="24"/>
    </w:rPr>
  </w:style>
  <w:style w:type="character" w:customStyle="1" w:styleId="a8">
    <w:name w:val="脚注文本 字符"/>
    <w:basedOn w:val="a0"/>
    <w:link w:val="a7"/>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table" w:customStyle="1" w:styleId="11">
    <w:name w:val="网格型1"/>
    <w:basedOn w:val="a1"/>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1B0EC7-4FEC-4ACE-B1EC-0B997FCE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凌 徐</cp:lastModifiedBy>
  <cp:revision>290</cp:revision>
  <cp:lastPrinted>2024-10-15T09:59:00Z</cp:lastPrinted>
  <dcterms:created xsi:type="dcterms:W3CDTF">2024-07-19T05:06:00Z</dcterms:created>
  <dcterms:modified xsi:type="dcterms:W3CDTF">2024-10-22T08:15:00Z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FEBABCA6A02244769D049F3DDD1E33C9_12</vt:lpwstr>
  </property>
</Properties>
</file>