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360" w:lineRule="auto"/>
        <w:ind w:firstLine="482" w:firstLineChars="200"/>
        <w:jc w:val="center"/>
        <w:rPr>
          <w:rFonts w:hint="eastAsia" w:ascii="黑体" w:hAnsi="黑体" w:eastAsia="黑体" w:cs="黑体"/>
          <w:b/>
          <w:bCs/>
          <w:sz w:val="24"/>
          <w:szCs w:val="24"/>
        </w:rPr>
      </w:pPr>
      <w:r>
        <w:rPr>
          <w:rFonts w:hint="eastAsia" w:ascii="黑体" w:hAnsi="黑体" w:eastAsia="黑体" w:cs="黑体"/>
          <w:b/>
          <w:bCs/>
          <w:sz w:val="24"/>
          <w:szCs w:val="24"/>
        </w:rPr>
        <w:t>核心素养视域下的初中数学实践性作业设计</w:t>
      </w:r>
    </w:p>
    <w:p>
      <w:pPr>
        <w:keepNext w:val="0"/>
        <w:keepLines w:val="0"/>
        <w:pageBreakBefore w:val="0"/>
        <w:kinsoku/>
        <w:wordWrap/>
        <w:overflowPunct/>
        <w:topLinePunct w:val="0"/>
        <w:autoSpaceDE/>
        <w:autoSpaceDN/>
        <w:bidi w:val="0"/>
        <w:adjustRightInd/>
        <w:snapToGrid/>
        <w:spacing w:line="360" w:lineRule="auto"/>
        <w:ind w:firstLine="420" w:firstLineChars="200"/>
        <w:jc w:val="center"/>
        <w:rPr>
          <w:rFonts w:hint="eastAsia"/>
          <w:vertAlign w:val="baseline"/>
          <w:lang w:val="en-US" w:eastAsia="zh-CN"/>
        </w:rPr>
      </w:pPr>
      <w:r>
        <w:rPr>
          <w:rFonts w:hint="eastAsia"/>
          <w:vertAlign w:val="baseline"/>
          <w:lang w:val="en-US" w:eastAsia="zh-CN"/>
        </w:rPr>
        <w:t>何科俊</w:t>
      </w:r>
    </w:p>
    <w:p>
      <w:pPr>
        <w:keepNext w:val="0"/>
        <w:keepLines w:val="0"/>
        <w:pageBreakBefore w:val="0"/>
        <w:kinsoku/>
        <w:wordWrap/>
        <w:overflowPunct/>
        <w:topLinePunct w:val="0"/>
        <w:autoSpaceDE/>
        <w:autoSpaceDN/>
        <w:bidi w:val="0"/>
        <w:adjustRightInd/>
        <w:snapToGrid/>
        <w:spacing w:line="360" w:lineRule="auto"/>
        <w:ind w:firstLine="420" w:firstLineChars="200"/>
        <w:jc w:val="center"/>
        <w:rPr>
          <w:rFonts w:hint="default"/>
          <w:vertAlign w:val="baseline"/>
          <w:lang w:val="en-US" w:eastAsia="zh-CN"/>
        </w:rPr>
      </w:pPr>
      <w:r>
        <w:rPr>
          <w:rFonts w:hint="eastAsia"/>
          <w:vertAlign w:val="baseline"/>
          <w:lang w:val="en-US" w:eastAsia="zh-CN"/>
        </w:rPr>
        <w:t>常州市新北区实验中学  江苏省常州市  213000</w:t>
      </w:r>
    </w:p>
    <w:p>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黑体" w:hAnsi="黑体" w:eastAsia="黑体" w:cs="黑体"/>
          <w:sz w:val="24"/>
          <w:szCs w:val="24"/>
          <w:lang w:val="en-US" w:eastAsia="zh-CN"/>
        </w:rPr>
      </w:pPr>
      <w:r>
        <w:rPr>
          <w:rFonts w:hint="eastAsia" w:ascii="黑体" w:hAnsi="黑体" w:eastAsia="黑体" w:cs="黑体"/>
          <w:b/>
          <w:bCs/>
          <w:sz w:val="24"/>
          <w:szCs w:val="24"/>
        </w:rPr>
        <w:t>摘要：</w:t>
      </w:r>
      <w:r>
        <w:rPr>
          <w:rFonts w:hint="eastAsia" w:ascii="黑体" w:hAnsi="黑体" w:eastAsia="黑体" w:cs="黑体"/>
          <w:sz w:val="24"/>
          <w:szCs w:val="24"/>
        </w:rPr>
        <w:t>在核心素养视域下，初中数学的实践性作业设计具有重要意义。本文</w:t>
      </w:r>
      <w:bookmarkStart w:id="0" w:name="_GoBack"/>
      <w:r>
        <w:rPr>
          <w:rFonts w:hint="eastAsia" w:ascii="黑体" w:hAnsi="黑体" w:eastAsia="黑体" w:cs="黑体"/>
          <w:sz w:val="24"/>
          <w:szCs w:val="24"/>
        </w:rPr>
        <w:t>以核心素养为理论基础，以初中数学实践性作业为研究对象，旨在探讨如何设计</w:t>
      </w:r>
      <w:bookmarkEnd w:id="0"/>
      <w:r>
        <w:rPr>
          <w:rFonts w:hint="eastAsia" w:ascii="黑体" w:hAnsi="黑体" w:eastAsia="黑体" w:cs="黑体"/>
          <w:sz w:val="24"/>
          <w:szCs w:val="24"/>
        </w:rPr>
        <w:t>符合核心素养理念的数学实践性作业。通过文献综述和实证分析，本文确立了以问题解决、沟通表达、思维反思、合作交流为核心素养要素的数学实践性作业设计原则。进一步分析了核心素养与数学教学的内在联系，指出了在设计实践性作业时应注重培养学生的综合素养和创新能力。最后，提出了一些具体的实践性作业设计策略，以期促进学生在数学学习中的全面发展。</w:t>
      </w:r>
    </w:p>
    <w:p>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黑体" w:hAnsi="黑体" w:eastAsia="黑体" w:cs="黑体"/>
          <w:sz w:val="24"/>
          <w:szCs w:val="24"/>
        </w:rPr>
      </w:pPr>
      <w:r>
        <w:rPr>
          <w:rFonts w:hint="eastAsia" w:ascii="黑体" w:hAnsi="黑体" w:eastAsia="黑体" w:cs="黑体"/>
          <w:b/>
          <w:bCs/>
          <w:sz w:val="24"/>
          <w:szCs w:val="24"/>
        </w:rPr>
        <w:t>关键词</w:t>
      </w:r>
      <w:r>
        <w:rPr>
          <w:rFonts w:hint="eastAsia" w:ascii="黑体" w:hAnsi="黑体" w:eastAsia="黑体" w:cs="黑体"/>
          <w:sz w:val="24"/>
          <w:szCs w:val="24"/>
        </w:rPr>
        <w:t>：核心素养，初中数学，实践性作业，设计原则，教学策略</w:t>
      </w:r>
    </w:p>
    <w:p>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黑体" w:hAnsi="黑体" w:eastAsia="黑体" w:cs="黑体"/>
          <w:b/>
          <w:bCs/>
          <w:sz w:val="24"/>
          <w:szCs w:val="24"/>
        </w:rPr>
      </w:pPr>
      <w:r>
        <w:rPr>
          <w:rFonts w:hint="eastAsia" w:ascii="黑体" w:hAnsi="黑体" w:eastAsia="黑体" w:cs="黑体"/>
          <w:b/>
          <w:bCs/>
          <w:sz w:val="24"/>
          <w:szCs w:val="24"/>
        </w:rPr>
        <w:t>引言：</w:t>
      </w:r>
    </w:p>
    <w:p>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黑体" w:hAnsi="黑体" w:eastAsia="黑体" w:cs="黑体"/>
          <w:sz w:val="24"/>
          <w:szCs w:val="24"/>
        </w:rPr>
      </w:pPr>
      <w:r>
        <w:rPr>
          <w:rFonts w:hint="eastAsia" w:ascii="黑体" w:hAnsi="黑体" w:eastAsia="黑体" w:cs="黑体"/>
          <w:sz w:val="24"/>
          <w:szCs w:val="24"/>
        </w:rPr>
        <w:t>数学作为一门抽象的学科，其教学往往面临着学生难以理解、难以应用的问题。针对这一挑战，本文从核心素养视域出发，将目光聚焦于初中数学实践性作业的设计与实施。在当今教育改革的大潮中，核心素养作为教育的重要理念，强调培养学生的综合能力和创新思维。因此，将核心素养理念引入数学教学中，设计出具有实践性、启发性的作业任务，对于激发学生学习兴趣、提升学习效果具有重要意义。本文将深入探讨如何根据核心素养视域，设计出符合学生认知特点和教学目标的初中数学实践性作业，以期为教育实践提供新的思路和方法。</w:t>
      </w:r>
    </w:p>
    <w:p>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黑体" w:hAnsi="黑体" w:eastAsia="黑体" w:cs="黑体"/>
          <w:b/>
          <w:bCs/>
          <w:sz w:val="24"/>
          <w:szCs w:val="24"/>
        </w:rPr>
      </w:pPr>
      <w:r>
        <w:rPr>
          <w:rFonts w:hint="eastAsia" w:ascii="黑体" w:hAnsi="黑体" w:eastAsia="黑体" w:cs="黑体"/>
          <w:b/>
          <w:bCs/>
          <w:sz w:val="24"/>
          <w:szCs w:val="24"/>
        </w:rPr>
        <w:t>一、核心素养视域下的初中数学实践性作业设计原则</w:t>
      </w:r>
    </w:p>
    <w:p>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黑体" w:hAnsi="黑体" w:eastAsia="黑体" w:cs="黑体"/>
          <w:sz w:val="24"/>
          <w:szCs w:val="24"/>
        </w:rPr>
      </w:pPr>
      <w:r>
        <w:rPr>
          <w:rFonts w:hint="eastAsia" w:ascii="黑体" w:hAnsi="黑体" w:eastAsia="黑体" w:cs="黑体"/>
          <w:sz w:val="24"/>
          <w:szCs w:val="24"/>
        </w:rPr>
        <w:t>在核心素养视域下的初中数学实践性作业设计涉及到诸多重要原则，这些原则不仅要符合数学教学的基本要求，还需紧密贴合核心素养理念，以促进学生全面发展。核心素养视域下的数学实践性作业应突出问题解决能力的培养。这意味着作业设计需要围绕现实生活中的实际问题，激发学生的求知欲和解决问题的能力，例如，设计探究性问题，引导学生通过数学方法解决日常生活中的实际难题。</w:t>
      </w:r>
    </w:p>
    <w:p>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黑体" w:hAnsi="黑体" w:eastAsia="黑体" w:cs="黑体"/>
          <w:sz w:val="24"/>
          <w:szCs w:val="24"/>
        </w:rPr>
      </w:pPr>
      <w:r>
        <w:rPr>
          <w:rFonts w:hint="eastAsia" w:ascii="黑体" w:hAnsi="黑体" w:eastAsia="黑体" w:cs="黑体"/>
          <w:sz w:val="24"/>
          <w:szCs w:val="24"/>
        </w:rPr>
        <w:t>沟通表达技能的提升是核心素养视域下数学实践性作业设计的另一重要原则。作业设计应当注重培养学生清晰准确地表达数学思想的能力，鼓励他们运用数学语言和符号进行有效沟通。例如，通过小组合作完成项目，让学生在团队中相互交流、讨论和展示解决问题的思路和方法，从而提高他们的沟通表达水平。思维反思与创新意识的培养也是核心素养视域下的数学实践性作业设计的重要原则。作业设计应当引导学生在解决问题的过程中进行反思，思考问题背后的数学原理和方法，从而促进他们形成独立思考、创新探索的意识和能力。例如，设计开放性问题，鼓励学生提出不同的解决方案，并对各种解决方案进行比较分析，从中总结出更有效的解决方法，培养学生的创新思维。</w:t>
      </w:r>
    </w:p>
    <w:p>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黑体" w:hAnsi="黑体" w:eastAsia="黑体" w:cs="黑体"/>
          <w:sz w:val="24"/>
          <w:szCs w:val="24"/>
        </w:rPr>
      </w:pPr>
      <w:r>
        <w:rPr>
          <w:rFonts w:hint="eastAsia" w:ascii="黑体" w:hAnsi="黑体" w:eastAsia="黑体" w:cs="黑体"/>
          <w:sz w:val="24"/>
          <w:szCs w:val="24"/>
        </w:rPr>
        <w:t>合作交流能力的促进是核心素养视域下数学实践性作业设计的又一重要原则。作业设计应当鼓励学生在团队合作中相互学习、相互支持，培养他们良好的合作精神和团队意识。例如，设计项目式作业，让学生在小组中共同完成任务，通过合作解决问题，培养他们的合作交流能力和团队协作能力。核心素养视域下的初中数学实践性作业设计应当遵循问题解决能力培养、沟通表达技能提升、思维反思与创新意识培养以及合作交流能力促进等原则，以实现数学教育的更高效、更全面的目标。</w:t>
      </w:r>
    </w:p>
    <w:p>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黑体" w:hAnsi="黑体" w:eastAsia="黑体" w:cs="黑体"/>
          <w:b/>
          <w:bCs/>
          <w:sz w:val="24"/>
          <w:szCs w:val="24"/>
        </w:rPr>
      </w:pPr>
      <w:r>
        <w:rPr>
          <w:rFonts w:hint="eastAsia" w:ascii="黑体" w:hAnsi="黑体" w:eastAsia="黑体" w:cs="黑体"/>
          <w:b/>
          <w:bCs/>
          <w:sz w:val="24"/>
          <w:szCs w:val="24"/>
        </w:rPr>
        <w:t>二、基于核心素养的初中数学实践性作业设计策略</w:t>
      </w:r>
    </w:p>
    <w:p>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黑体" w:hAnsi="黑体" w:eastAsia="黑体" w:cs="黑体"/>
          <w:sz w:val="24"/>
          <w:szCs w:val="24"/>
        </w:rPr>
      </w:pPr>
      <w:r>
        <w:rPr>
          <w:rFonts w:hint="eastAsia" w:ascii="黑体" w:hAnsi="黑体" w:eastAsia="黑体" w:cs="黑体"/>
          <w:sz w:val="24"/>
          <w:szCs w:val="24"/>
        </w:rPr>
        <w:t>基于核心素养的初中数学实践性作业设计策略旨在有效地培养学生的综合素养和创新能力，以及促进他们的数学学习兴趣和成就。一项重要的策略是设计以问题解决能力为核心的作业任务。这种任务可以包括真实世界中的问题，如购物计算、投资规划等，或是数学领域内的挑战性问题，如解决数学难题、证明数学定理等。例如，在一次数学作业中，学生需要利用所学知识和技能，设计一个预算方案，解决家庭购物中的实际问题，从而培养他们的问题解决能力。</w:t>
      </w:r>
    </w:p>
    <w:p>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黑体" w:hAnsi="黑体" w:eastAsia="黑体" w:cs="黑体"/>
          <w:sz w:val="24"/>
          <w:szCs w:val="24"/>
        </w:rPr>
      </w:pPr>
      <w:r>
        <w:rPr>
          <w:rFonts w:hint="eastAsia" w:ascii="黑体" w:hAnsi="黑体" w:eastAsia="黑体" w:cs="黑体"/>
          <w:sz w:val="24"/>
          <w:szCs w:val="24"/>
        </w:rPr>
        <w:t>沟通表达技能的提升是另一个重要的策略。作业设计可以鼓励学生通过口头或书面方式清晰地表达数学思想和解决问题的方法。例如，在一个小组作业中，学生需要就某一数学问题展开讨论，并向全班呈现他们的解决思路和结果，从而提高他们的沟通表达能力。思维反思与创新意识的培养也是关键策略之一。作业设计可以引导学生在解决问题的过程中进行思维反思，思考问题的本质和解决方法，并鼓励他们寻找不同的解决途径和创新点。例如，一个数学作业要求学生针对一个数学定理或问题提出不同的解决思路，并分析其优缺点，从而培养他们的创新意识和思维能力。</w:t>
      </w:r>
    </w:p>
    <w:p>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黑体" w:hAnsi="黑体" w:eastAsia="黑体" w:cs="黑体"/>
          <w:sz w:val="24"/>
          <w:szCs w:val="24"/>
        </w:rPr>
      </w:pPr>
      <w:r>
        <w:rPr>
          <w:rFonts w:hint="eastAsia" w:ascii="黑体" w:hAnsi="黑体" w:eastAsia="黑体" w:cs="黑体"/>
          <w:sz w:val="24"/>
          <w:szCs w:val="24"/>
        </w:rPr>
        <w:t>合作交流能力的促进是策略的另一个重要方面。作业设计可以设置小组合作任务，要求学生共同解决一个复杂的数学问题或完成一个数学项目。例如，一个小组作业要求学生通过合作完成一个数学建模项目，从问题的建立到解决方案的提出，再到结果的展示，全程需要学生之间的密切合作和有效交流，从而促进他们的合作交流能力。基于核心素养的初中数学实践性作业设计策略包括问题解决能力培养、沟通表达技能提升、思维反思与创新意识培养以及合作交流能力促进等方面，这些策略有助于学生全面发展，并提升其数学学习的有效性和兴趣。</w:t>
      </w:r>
    </w:p>
    <w:p>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黑体" w:hAnsi="黑体" w:eastAsia="黑体" w:cs="黑体"/>
          <w:b/>
          <w:bCs/>
          <w:sz w:val="24"/>
          <w:szCs w:val="24"/>
        </w:rPr>
      </w:pPr>
      <w:r>
        <w:rPr>
          <w:rFonts w:hint="eastAsia" w:ascii="黑体" w:hAnsi="黑体" w:eastAsia="黑体" w:cs="黑体"/>
          <w:b/>
          <w:bCs/>
          <w:sz w:val="24"/>
          <w:szCs w:val="24"/>
        </w:rPr>
        <w:t>三、核心素养视域下的初中数学实践性作业设计实例分析</w:t>
      </w:r>
    </w:p>
    <w:p>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黑体" w:hAnsi="黑体" w:eastAsia="黑体" w:cs="黑体"/>
          <w:sz w:val="24"/>
          <w:szCs w:val="24"/>
        </w:rPr>
      </w:pPr>
      <w:r>
        <w:rPr>
          <w:rFonts w:hint="eastAsia" w:ascii="黑体" w:hAnsi="黑体" w:eastAsia="黑体" w:cs="黑体"/>
          <w:sz w:val="24"/>
          <w:szCs w:val="24"/>
        </w:rPr>
        <w:t>在核心素养视域下的初中数学实践性作业设计实例分析中，我们选取了一个涉及几何与代数知识的案例，旨在展示如何结合核心素养理念设计具有挑战性和启发性的作业任务。案例描述：假设在初中数学课上，老师要求学生设计一个城市公园的平面布局，要求公园包含一个圆形湖泊、多个矩形草坪和道路，要求设计尽可能规划合理且美观。为此，学生需要综合运用几何知识和代数知识，包括计算圆的面积和周长、矩形的面积和周长，并利用代数表达式表示各个区域的面积和边长关系，以确保整个公园布局的合理性。</w:t>
      </w:r>
    </w:p>
    <w:p>
      <w:pPr>
        <w:keepNext w:val="0"/>
        <w:keepLines w:val="0"/>
        <w:pageBreakBefore w:val="0"/>
        <w:kinsoku/>
        <w:wordWrap/>
        <w:overflowPunct/>
        <w:topLinePunct w:val="0"/>
        <w:autoSpaceDE/>
        <w:autoSpaceDN/>
        <w:bidi w:val="0"/>
        <w:adjustRightInd/>
        <w:snapToGrid/>
        <w:spacing w:line="360" w:lineRule="auto"/>
        <w:ind w:firstLine="420" w:firstLineChars="200"/>
        <w:jc w:val="center"/>
        <w:rPr>
          <w:rFonts w:hint="eastAsia" w:ascii="黑体" w:hAnsi="黑体" w:eastAsia="黑体" w:cs="黑体"/>
          <w:sz w:val="21"/>
          <w:szCs w:val="21"/>
        </w:rPr>
      </w:pPr>
      <w:r>
        <w:rPr>
          <w:rFonts w:hint="eastAsia" w:ascii="黑体" w:hAnsi="黑体" w:eastAsia="黑体" w:cs="黑体"/>
          <w:sz w:val="21"/>
          <w:szCs w:val="21"/>
          <w:lang w:val="en-US" w:eastAsia="zh-CN"/>
        </w:rPr>
        <w:t>表1：</w:t>
      </w:r>
      <w:r>
        <w:rPr>
          <w:rFonts w:hint="eastAsia" w:ascii="黑体" w:hAnsi="黑体" w:eastAsia="黑体" w:cs="黑体"/>
          <w:sz w:val="21"/>
          <w:szCs w:val="21"/>
        </w:rPr>
        <w:t>城市公园平面布局设计表格：</w:t>
      </w:r>
    </w:p>
    <w:tbl>
      <w:tblPr>
        <w:tblStyle w:val="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65"/>
        <w:gridCol w:w="914"/>
        <w:gridCol w:w="2632"/>
        <w:gridCol w:w="32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36" w:type="pct"/>
            <w:tcBorders>
              <w:left w:val="nil"/>
              <w:right w:val="nil"/>
            </w:tcBorders>
            <w:vAlign w:val="bottom"/>
          </w:tcPr>
          <w:p>
            <w:pPr>
              <w:rPr>
                <w:rFonts w:hint="eastAsia"/>
              </w:rPr>
            </w:pPr>
            <w:r>
              <w:rPr>
                <w:rFonts w:hint="eastAsia"/>
                <w:lang w:val="en-US" w:eastAsia="zh-CN"/>
              </w:rPr>
              <w:t>区域</w:t>
            </w:r>
          </w:p>
        </w:tc>
        <w:tc>
          <w:tcPr>
            <w:tcW w:w="536" w:type="pct"/>
            <w:tcBorders>
              <w:left w:val="nil"/>
              <w:right w:val="nil"/>
            </w:tcBorders>
            <w:vAlign w:val="bottom"/>
          </w:tcPr>
          <w:p>
            <w:pPr>
              <w:rPr>
                <w:rFonts w:hint="eastAsia"/>
              </w:rPr>
            </w:pPr>
            <w:r>
              <w:rPr>
                <w:rFonts w:hint="eastAsia"/>
                <w:lang w:val="en-US" w:eastAsia="zh-CN"/>
              </w:rPr>
              <w:t>形状</w:t>
            </w:r>
          </w:p>
        </w:tc>
        <w:tc>
          <w:tcPr>
            <w:tcW w:w="1544" w:type="pct"/>
            <w:tcBorders>
              <w:left w:val="nil"/>
              <w:right w:val="nil"/>
            </w:tcBorders>
            <w:vAlign w:val="bottom"/>
          </w:tcPr>
          <w:p>
            <w:pPr>
              <w:rPr>
                <w:rFonts w:hint="eastAsia"/>
              </w:rPr>
            </w:pPr>
            <w:r>
              <w:rPr>
                <w:rFonts w:hint="eastAsia"/>
                <w:lang w:val="en-US" w:eastAsia="zh-CN"/>
              </w:rPr>
              <w:t>尺寸（单位：米）</w:t>
            </w:r>
          </w:p>
        </w:tc>
        <w:tc>
          <w:tcPr>
            <w:tcW w:w="1882" w:type="pct"/>
            <w:tcBorders>
              <w:left w:val="nil"/>
              <w:right w:val="nil"/>
            </w:tcBorders>
            <w:vAlign w:val="bottom"/>
          </w:tcPr>
          <w:p>
            <w:pPr>
              <w:rPr>
                <w:rFonts w:hint="eastAsia"/>
              </w:rPr>
            </w:pPr>
            <w:r>
              <w:rPr>
                <w:rFonts w:hint="eastAsia"/>
                <w:lang w:val="en-US" w:eastAsia="zh-CN"/>
              </w:rPr>
              <w:t>面积（单位：平方米）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36" w:type="pct"/>
            <w:tcBorders>
              <w:left w:val="nil"/>
              <w:bottom w:val="nil"/>
              <w:right w:val="nil"/>
            </w:tcBorders>
            <w:vAlign w:val="top"/>
          </w:tcPr>
          <w:p>
            <w:pPr>
              <w:rPr>
                <w:rFonts w:hint="eastAsia"/>
              </w:rPr>
            </w:pPr>
            <w:r>
              <w:rPr>
                <w:rFonts w:hint="eastAsia"/>
                <w:lang w:val="en-US" w:eastAsia="zh-CN"/>
              </w:rPr>
              <w:t>湖泊</w:t>
            </w:r>
          </w:p>
        </w:tc>
        <w:tc>
          <w:tcPr>
            <w:tcW w:w="536" w:type="pct"/>
            <w:tcBorders>
              <w:left w:val="nil"/>
              <w:bottom w:val="nil"/>
              <w:right w:val="nil"/>
            </w:tcBorders>
            <w:vAlign w:val="top"/>
          </w:tcPr>
          <w:p>
            <w:pPr>
              <w:rPr>
                <w:rFonts w:hint="eastAsia"/>
              </w:rPr>
            </w:pPr>
            <w:r>
              <w:rPr>
                <w:rFonts w:hint="eastAsia"/>
                <w:lang w:val="en-US" w:eastAsia="zh-CN"/>
              </w:rPr>
              <w:t>圆形</w:t>
            </w:r>
          </w:p>
        </w:tc>
        <w:tc>
          <w:tcPr>
            <w:tcW w:w="1544" w:type="pct"/>
            <w:tcBorders>
              <w:left w:val="nil"/>
              <w:bottom w:val="nil"/>
              <w:right w:val="nil"/>
            </w:tcBorders>
            <w:vAlign w:val="top"/>
          </w:tcPr>
          <w:p>
            <w:pPr>
              <w:rPr>
                <w:rFonts w:hint="eastAsia"/>
              </w:rPr>
            </w:pPr>
            <w:r>
              <w:rPr>
                <w:rFonts w:hint="eastAsia"/>
                <w:lang w:val="en-US" w:eastAsia="zh-CN"/>
              </w:rPr>
              <w:t>半径：20</w:t>
            </w:r>
          </w:p>
        </w:tc>
        <w:tc>
          <w:tcPr>
            <w:tcW w:w="1882" w:type="pct"/>
            <w:tcBorders>
              <w:left w:val="nil"/>
              <w:bottom w:val="nil"/>
              <w:right w:val="nil"/>
            </w:tcBorders>
            <w:vAlign w:val="top"/>
          </w:tcPr>
          <w:p>
            <w:pPr>
              <w:rPr>
                <w:rFonts w:hint="eastAsia"/>
              </w:rPr>
            </w:pPr>
            <w:r>
              <w:rPr>
                <w:rFonts w:hint="eastAsia"/>
                <w:lang w:val="en-US" w:eastAsia="zh-CN"/>
              </w:rPr>
              <w:t>1256.64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36" w:type="pct"/>
            <w:tcBorders>
              <w:top w:val="nil"/>
              <w:left w:val="nil"/>
              <w:bottom w:val="nil"/>
              <w:right w:val="nil"/>
            </w:tcBorders>
            <w:vAlign w:val="top"/>
          </w:tcPr>
          <w:p>
            <w:pPr>
              <w:rPr>
                <w:rFonts w:hint="eastAsia"/>
              </w:rPr>
            </w:pPr>
            <w:r>
              <w:rPr>
                <w:rFonts w:hint="eastAsia"/>
                <w:lang w:val="en-US" w:eastAsia="zh-CN"/>
              </w:rPr>
              <w:t>主草坪</w:t>
            </w:r>
          </w:p>
        </w:tc>
        <w:tc>
          <w:tcPr>
            <w:tcW w:w="536" w:type="pct"/>
            <w:tcBorders>
              <w:top w:val="nil"/>
              <w:left w:val="nil"/>
              <w:bottom w:val="nil"/>
              <w:right w:val="nil"/>
            </w:tcBorders>
            <w:vAlign w:val="top"/>
          </w:tcPr>
          <w:p>
            <w:pPr>
              <w:rPr>
                <w:rFonts w:hint="eastAsia"/>
              </w:rPr>
            </w:pPr>
            <w:r>
              <w:rPr>
                <w:rFonts w:hint="eastAsia"/>
                <w:lang w:val="en-US" w:eastAsia="zh-CN"/>
              </w:rPr>
              <w:t>矩形</w:t>
            </w:r>
          </w:p>
        </w:tc>
        <w:tc>
          <w:tcPr>
            <w:tcW w:w="1544" w:type="pct"/>
            <w:tcBorders>
              <w:top w:val="nil"/>
              <w:left w:val="nil"/>
              <w:bottom w:val="nil"/>
              <w:right w:val="nil"/>
            </w:tcBorders>
            <w:vAlign w:val="top"/>
          </w:tcPr>
          <w:p>
            <w:pPr>
              <w:rPr>
                <w:rFonts w:hint="eastAsia"/>
              </w:rPr>
            </w:pPr>
            <w:r>
              <w:rPr>
                <w:rFonts w:hint="eastAsia"/>
                <w:lang w:val="en-US" w:eastAsia="zh-CN"/>
              </w:rPr>
              <w:t>长：50，宽：40</w:t>
            </w:r>
          </w:p>
        </w:tc>
        <w:tc>
          <w:tcPr>
            <w:tcW w:w="1882" w:type="pct"/>
            <w:tcBorders>
              <w:top w:val="nil"/>
              <w:left w:val="nil"/>
              <w:bottom w:val="nil"/>
              <w:right w:val="nil"/>
            </w:tcBorders>
            <w:vAlign w:val="top"/>
          </w:tcPr>
          <w:p>
            <w:pPr>
              <w:rPr>
                <w:rFonts w:hint="eastAsia"/>
              </w:rPr>
            </w:pPr>
            <w:r>
              <w:rPr>
                <w:rFonts w:hint="eastAsia"/>
                <w:lang w:val="en-US" w:eastAsia="zh-CN"/>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36" w:type="pct"/>
            <w:tcBorders>
              <w:top w:val="nil"/>
              <w:left w:val="nil"/>
              <w:bottom w:val="nil"/>
              <w:right w:val="nil"/>
            </w:tcBorders>
            <w:vAlign w:val="top"/>
          </w:tcPr>
          <w:p>
            <w:pPr>
              <w:rPr>
                <w:rFonts w:hint="eastAsia"/>
              </w:rPr>
            </w:pPr>
            <w:r>
              <w:rPr>
                <w:rFonts w:hint="eastAsia"/>
                <w:lang w:val="en-US" w:eastAsia="zh-CN"/>
              </w:rPr>
              <w:t>儿童游乐区</w:t>
            </w:r>
          </w:p>
        </w:tc>
        <w:tc>
          <w:tcPr>
            <w:tcW w:w="536" w:type="pct"/>
            <w:tcBorders>
              <w:top w:val="nil"/>
              <w:left w:val="nil"/>
              <w:bottom w:val="nil"/>
              <w:right w:val="nil"/>
            </w:tcBorders>
            <w:vAlign w:val="top"/>
          </w:tcPr>
          <w:p>
            <w:pPr>
              <w:rPr>
                <w:rFonts w:hint="eastAsia"/>
              </w:rPr>
            </w:pPr>
            <w:r>
              <w:rPr>
                <w:rFonts w:hint="eastAsia"/>
                <w:lang w:val="en-US" w:eastAsia="zh-CN"/>
              </w:rPr>
              <w:t>矩形</w:t>
            </w:r>
          </w:p>
        </w:tc>
        <w:tc>
          <w:tcPr>
            <w:tcW w:w="1544" w:type="pct"/>
            <w:tcBorders>
              <w:top w:val="nil"/>
              <w:left w:val="nil"/>
              <w:bottom w:val="nil"/>
              <w:right w:val="nil"/>
            </w:tcBorders>
            <w:vAlign w:val="top"/>
          </w:tcPr>
          <w:p>
            <w:pPr>
              <w:rPr>
                <w:rFonts w:hint="eastAsia"/>
              </w:rPr>
            </w:pPr>
            <w:r>
              <w:rPr>
                <w:rFonts w:hint="eastAsia"/>
                <w:lang w:val="en-US" w:eastAsia="zh-CN"/>
              </w:rPr>
              <w:t>长：30，宽：20</w:t>
            </w:r>
          </w:p>
        </w:tc>
        <w:tc>
          <w:tcPr>
            <w:tcW w:w="1882" w:type="pct"/>
            <w:tcBorders>
              <w:top w:val="nil"/>
              <w:left w:val="nil"/>
              <w:bottom w:val="nil"/>
              <w:right w:val="nil"/>
            </w:tcBorders>
            <w:vAlign w:val="top"/>
          </w:tcPr>
          <w:p>
            <w:pPr>
              <w:rPr>
                <w:rFonts w:hint="eastAsia"/>
              </w:rPr>
            </w:pPr>
            <w:r>
              <w:rPr>
                <w:rFonts w:hint="eastAsia"/>
                <w:lang w:val="en-US" w:eastAsia="zh-CN"/>
              </w:rPr>
              <w:t>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36" w:type="pct"/>
            <w:tcBorders>
              <w:top w:val="nil"/>
              <w:left w:val="nil"/>
              <w:bottom w:val="nil"/>
              <w:right w:val="nil"/>
            </w:tcBorders>
            <w:vAlign w:val="top"/>
          </w:tcPr>
          <w:p>
            <w:pPr>
              <w:rPr>
                <w:rFonts w:hint="eastAsia"/>
              </w:rPr>
            </w:pPr>
            <w:r>
              <w:rPr>
                <w:rFonts w:hint="eastAsia"/>
                <w:lang w:val="en-US" w:eastAsia="zh-CN"/>
              </w:rPr>
              <w:t>运动场</w:t>
            </w:r>
          </w:p>
        </w:tc>
        <w:tc>
          <w:tcPr>
            <w:tcW w:w="536" w:type="pct"/>
            <w:tcBorders>
              <w:top w:val="nil"/>
              <w:left w:val="nil"/>
              <w:bottom w:val="nil"/>
              <w:right w:val="nil"/>
            </w:tcBorders>
            <w:vAlign w:val="top"/>
          </w:tcPr>
          <w:p>
            <w:pPr>
              <w:rPr>
                <w:rFonts w:hint="eastAsia"/>
              </w:rPr>
            </w:pPr>
            <w:r>
              <w:rPr>
                <w:rFonts w:hint="eastAsia"/>
                <w:lang w:val="en-US" w:eastAsia="zh-CN"/>
              </w:rPr>
              <w:t>矩形</w:t>
            </w:r>
          </w:p>
        </w:tc>
        <w:tc>
          <w:tcPr>
            <w:tcW w:w="1544" w:type="pct"/>
            <w:tcBorders>
              <w:top w:val="nil"/>
              <w:left w:val="nil"/>
              <w:bottom w:val="nil"/>
              <w:right w:val="nil"/>
            </w:tcBorders>
            <w:vAlign w:val="top"/>
          </w:tcPr>
          <w:p>
            <w:pPr>
              <w:rPr>
                <w:rFonts w:hint="eastAsia"/>
              </w:rPr>
            </w:pPr>
            <w:r>
              <w:rPr>
                <w:rFonts w:hint="eastAsia"/>
                <w:lang w:val="en-US" w:eastAsia="zh-CN"/>
              </w:rPr>
              <w:t>长：60，宽：40</w:t>
            </w:r>
          </w:p>
        </w:tc>
        <w:tc>
          <w:tcPr>
            <w:tcW w:w="1882" w:type="pct"/>
            <w:tcBorders>
              <w:top w:val="nil"/>
              <w:left w:val="nil"/>
              <w:bottom w:val="nil"/>
              <w:right w:val="nil"/>
            </w:tcBorders>
            <w:vAlign w:val="top"/>
          </w:tcPr>
          <w:p>
            <w:pPr>
              <w:rPr>
                <w:rFonts w:hint="eastAsia"/>
              </w:rPr>
            </w:pPr>
            <w:r>
              <w:rPr>
                <w:rFonts w:hint="eastAsia"/>
                <w:lang w:val="en-US" w:eastAsia="zh-CN"/>
              </w:rPr>
              <w:t>2400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36" w:type="pct"/>
            <w:tcBorders>
              <w:top w:val="nil"/>
              <w:left w:val="nil"/>
              <w:right w:val="nil"/>
            </w:tcBorders>
            <w:vAlign w:val="top"/>
          </w:tcPr>
          <w:p>
            <w:pPr>
              <w:rPr>
                <w:rFonts w:hint="eastAsia"/>
              </w:rPr>
            </w:pPr>
            <w:r>
              <w:rPr>
                <w:rFonts w:hint="eastAsia"/>
                <w:lang w:val="en-US" w:eastAsia="zh-CN"/>
              </w:rPr>
              <w:t>道路</w:t>
            </w:r>
          </w:p>
        </w:tc>
        <w:tc>
          <w:tcPr>
            <w:tcW w:w="536" w:type="pct"/>
            <w:tcBorders>
              <w:top w:val="nil"/>
              <w:left w:val="nil"/>
              <w:right w:val="nil"/>
            </w:tcBorders>
            <w:vAlign w:val="top"/>
          </w:tcPr>
          <w:p>
            <w:pPr>
              <w:rPr>
                <w:rFonts w:hint="eastAsia"/>
              </w:rPr>
            </w:pPr>
            <w:r>
              <w:rPr>
                <w:rFonts w:hint="eastAsia"/>
                <w:lang w:val="en-US" w:eastAsia="zh-CN"/>
              </w:rPr>
              <w:t>矩形</w:t>
            </w:r>
          </w:p>
        </w:tc>
        <w:tc>
          <w:tcPr>
            <w:tcW w:w="1544" w:type="pct"/>
            <w:tcBorders>
              <w:top w:val="nil"/>
              <w:left w:val="nil"/>
              <w:right w:val="nil"/>
            </w:tcBorders>
            <w:vAlign w:val="top"/>
          </w:tcPr>
          <w:p>
            <w:pPr>
              <w:rPr>
                <w:rFonts w:hint="eastAsia"/>
              </w:rPr>
            </w:pPr>
            <w:r>
              <w:rPr>
                <w:rFonts w:hint="eastAsia"/>
                <w:lang w:val="en-US" w:eastAsia="zh-CN"/>
              </w:rPr>
              <w:t>长：80，宽：5</w:t>
            </w:r>
          </w:p>
        </w:tc>
        <w:tc>
          <w:tcPr>
            <w:tcW w:w="1882" w:type="pct"/>
            <w:tcBorders>
              <w:top w:val="nil"/>
              <w:left w:val="nil"/>
              <w:right w:val="nil"/>
            </w:tcBorders>
            <w:vAlign w:val="top"/>
          </w:tcPr>
          <w:p>
            <w:pPr>
              <w:rPr>
                <w:rFonts w:hint="eastAsia"/>
              </w:rPr>
            </w:pPr>
            <w:r>
              <w:rPr>
                <w:rFonts w:hint="eastAsia"/>
                <w:lang w:val="en-US" w:eastAsia="zh-CN"/>
              </w:rPr>
              <w:t>400</w:t>
            </w:r>
          </w:p>
        </w:tc>
      </w:tr>
    </w:tbl>
    <w:p>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黑体" w:hAnsi="黑体" w:eastAsia="黑体" w:cs="黑体"/>
          <w:sz w:val="24"/>
          <w:szCs w:val="24"/>
        </w:rPr>
      </w:pPr>
      <w:r>
        <w:rPr>
          <w:rFonts w:hint="eastAsia" w:ascii="黑体" w:hAnsi="黑体" w:eastAsia="黑体" w:cs="黑体"/>
          <w:sz w:val="24"/>
          <w:szCs w:val="24"/>
        </w:rPr>
        <w:t>通过这个案例，学生不仅能够运用所学的数学知识解决实际问题，还能够在解决问题的过程中培养多方面的能力。首先，他们需要运用几何和代数知识设计城市公园的平面布局，这锻炼了他们的问题解决能力和数学思维能力。其次，设计过程中需要与同学进行有效的沟通与合作，共同讨论、协商解决方案，这培养了他们的沟通表达能力和合作交流能力。而在完成设计后，学生需要对自己的设计进行思维反思，评估其合理性和美观性，这又促进了他们的思维反思能力。</w:t>
      </w:r>
    </w:p>
    <w:p>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黑体" w:hAnsi="黑体" w:eastAsia="黑体" w:cs="黑体"/>
          <w:b/>
          <w:bCs/>
          <w:sz w:val="24"/>
          <w:szCs w:val="24"/>
        </w:rPr>
      </w:pPr>
      <w:r>
        <w:rPr>
          <w:rFonts w:hint="eastAsia" w:ascii="黑体" w:hAnsi="黑体" w:eastAsia="黑体" w:cs="黑体"/>
          <w:b/>
          <w:bCs/>
          <w:sz w:val="24"/>
          <w:szCs w:val="24"/>
        </w:rPr>
        <w:t>四、初中数学实践性作业设计的评价与展望</w:t>
      </w:r>
    </w:p>
    <w:p>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黑体" w:hAnsi="黑体" w:eastAsia="黑体" w:cs="黑体"/>
          <w:sz w:val="24"/>
          <w:szCs w:val="24"/>
        </w:rPr>
      </w:pPr>
      <w:r>
        <w:rPr>
          <w:rFonts w:hint="eastAsia" w:ascii="黑体" w:hAnsi="黑体" w:eastAsia="黑体" w:cs="黑体"/>
          <w:sz w:val="24"/>
          <w:szCs w:val="24"/>
        </w:rPr>
        <w:t xml:space="preserve"> 初中数学实践性作业设计的评价与展望是对当前作业设计的效果进行全面评估，并展望未来作业设计的发展方向。评价部分将从作业设计的有效性、学生学习动机、教师评价和家长反馈等方面展开。展望部分将探讨未来作业设计的可能发展趋势和改进方向。评价方面，初中数学实践性作业设计的有效性是首要考虑的因素。通过实际调查和数据统计，可以评估学生在完成实践性作业过程中所获得的数学知识和技能是否能够达到预期的教学目标，以及作业对学生数学学习的促进程度。同时，还需要考虑作业设计对学生学习动机的影响，是否能够激发学生的兴趣和积极参与，提高他们的学习动力和自主学习能力。此外，教师评价和家长反馈也是评价作业设计的重要依据，通过教师的专业评价和家长的反馈，可以了解作业设计在实际教学中的效果和问题，并及时调整和改进。</w:t>
      </w:r>
    </w:p>
    <w:p>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黑体" w:hAnsi="黑体" w:eastAsia="黑体" w:cs="黑体"/>
          <w:sz w:val="24"/>
          <w:szCs w:val="24"/>
        </w:rPr>
      </w:pPr>
      <w:r>
        <w:rPr>
          <w:rFonts w:hint="eastAsia" w:ascii="黑体" w:hAnsi="黑体" w:eastAsia="黑体" w:cs="黑体"/>
          <w:sz w:val="24"/>
          <w:szCs w:val="24"/>
        </w:rPr>
        <w:t>展望方面，未来初中数学实践性作业设计的发展可以从多个方面进行探讨。可以进一步加强作业设计与核心素养的结合，设计更具挑战性和启发性的作业任务，培养学生的综合素养和创新能力。可以借鉴先进的教育技术手段，如在线教学平台、虚拟实验室等，设计更具交互性和趣味性的数学实践性作业，提高学生的学习效果和兴趣。此外，还可以加强作业设计与现实生活的联系，设计更贴近学生生活和社会实践的作业任务，增强学生的实际应用能力和社会责任感。最后，作业设计的个性化和差异化也是未来发展的重点方向，根据学生的不同需求和特点，设计符合其学习水平和兴趣爱好的实践性作业，促进每个学生的全面发展和自我实现。</w:t>
      </w:r>
    </w:p>
    <w:p>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黑体" w:hAnsi="黑体" w:eastAsia="黑体" w:cs="黑体"/>
          <w:sz w:val="24"/>
          <w:szCs w:val="24"/>
        </w:rPr>
      </w:pPr>
      <w:r>
        <w:rPr>
          <w:rFonts w:hint="eastAsia" w:ascii="黑体" w:hAnsi="黑体" w:eastAsia="黑体" w:cs="黑体"/>
          <w:sz w:val="24"/>
          <w:szCs w:val="24"/>
        </w:rPr>
        <w:t>初中数学实践性作业设计的评价与展望需要全面考量多个方面。有效性、学生学习动机、教师评价和家长反馈是必不可少的要素。在评价作业时，应确保其对学生数学学习的促进程度，同时关注学生的学习兴趣和动机是否得到提升，以及教师和家长对作业效果的评价。展望未来，作业设计的发展应重点关注作业的个性化和差异化，充分利用教育技术手段，加强作业与现实生活的联系，以及强化作业与核心素养的结合。这些举措将有助于不断提高作业设计的质量和效果，推动学生数学学习的全面发展，促进他们的综合素养和创新能力的培养。</w:t>
      </w:r>
    </w:p>
    <w:p>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黑体" w:hAnsi="黑体" w:eastAsia="黑体" w:cs="黑体"/>
          <w:b/>
          <w:bCs/>
          <w:sz w:val="24"/>
          <w:szCs w:val="24"/>
          <w:lang w:val="en-US" w:eastAsia="zh-CN"/>
        </w:rPr>
      </w:pPr>
      <w:r>
        <w:rPr>
          <w:rFonts w:hint="eastAsia" w:ascii="黑体" w:hAnsi="黑体" w:eastAsia="黑体" w:cs="黑体"/>
          <w:b/>
          <w:bCs/>
          <w:sz w:val="24"/>
          <w:szCs w:val="24"/>
          <w:lang w:val="en-US" w:eastAsia="zh-CN"/>
        </w:rPr>
        <w:t>结语：</w:t>
      </w:r>
    </w:p>
    <w:p>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黑体" w:hAnsi="黑体" w:eastAsia="黑体" w:cs="黑体"/>
          <w:b/>
          <w:bCs/>
          <w:sz w:val="24"/>
          <w:szCs w:val="24"/>
          <w:lang w:val="en-US" w:eastAsia="zh-CN"/>
        </w:rPr>
      </w:pPr>
      <w:r>
        <w:rPr>
          <w:rFonts w:hint="eastAsia" w:ascii="黑体" w:hAnsi="黑体" w:eastAsia="黑体" w:cs="黑体"/>
          <w:sz w:val="24"/>
          <w:szCs w:val="24"/>
          <w:lang w:val="en-US" w:eastAsia="zh-CN"/>
        </w:rPr>
        <w:t>在核心素养视域下的初中数学实践性作业设计中，我们深入探讨了设计原则、策略和实例，并评价了其有效性与展望未来。通过以问题解决、沟通表达、思维反思、合作交流为核心素养要素，我们设计了多样化、启发性的作业任务，如设计城市公园平面布局等。这些任务不仅能够促进学生的数学学习，更能培养其综合素养和创新能力。然而，我们也意识到作业设计仍需不断改进与创新。未来，我们将进一步强化与核心素养的结合，借助先进教育技术，增强作业与现实生活的联系，并实现作业的个性化与差异化，以促进每个学生的全面发展。</w:t>
      </w:r>
    </w:p>
    <w:p>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黑体" w:hAnsi="黑体" w:eastAsia="黑体" w:cs="黑体"/>
          <w:b/>
          <w:bCs/>
          <w:sz w:val="24"/>
          <w:szCs w:val="24"/>
          <w:lang w:val="en-US" w:eastAsia="zh-CN"/>
        </w:rPr>
      </w:pPr>
      <w:r>
        <w:rPr>
          <w:rFonts w:hint="eastAsia" w:ascii="黑体" w:hAnsi="黑体" w:eastAsia="黑体" w:cs="黑体"/>
          <w:b/>
          <w:bCs/>
          <w:sz w:val="24"/>
          <w:szCs w:val="24"/>
          <w:lang w:val="en-US" w:eastAsia="zh-CN"/>
        </w:rPr>
        <w:t>参考文献：</w:t>
      </w:r>
    </w:p>
    <w:p>
      <w:pPr>
        <w:keepNext w:val="0"/>
        <w:keepLines w:val="0"/>
        <w:pageBreakBefore w:val="0"/>
        <w:numPr>
          <w:ilvl w:val="0"/>
          <w:numId w:val="1"/>
        </w:numPr>
        <w:kinsoku/>
        <w:wordWrap/>
        <w:overflowPunct/>
        <w:topLinePunct w:val="0"/>
        <w:autoSpaceDE/>
        <w:autoSpaceDN/>
        <w:bidi w:val="0"/>
        <w:adjustRightInd/>
        <w:snapToGrid/>
        <w:spacing w:line="360" w:lineRule="auto"/>
        <w:ind w:firstLine="480" w:firstLineChars="200"/>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孙凯.数学建模活动：发展模型观念的重要路径[J/OL].内蒙古师范大学学报(教育科学版),2024,(04):136-140+146[2024-04-19].http://kns.cnki.net/kcms/detail/15.1215.G4.20240416.1332.042.html.</w:t>
      </w:r>
    </w:p>
    <w:p>
      <w:pPr>
        <w:keepNext w:val="0"/>
        <w:keepLines w:val="0"/>
        <w:pageBreakBefore w:val="0"/>
        <w:numPr>
          <w:ilvl w:val="0"/>
          <w:numId w:val="1"/>
        </w:numPr>
        <w:kinsoku/>
        <w:wordWrap/>
        <w:overflowPunct/>
        <w:topLinePunct w:val="0"/>
        <w:autoSpaceDE/>
        <w:autoSpaceDN/>
        <w:bidi w:val="0"/>
        <w:adjustRightInd/>
        <w:snapToGrid/>
        <w:spacing w:line="360" w:lineRule="auto"/>
        <w:ind w:firstLine="480" w:firstLineChars="200"/>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高明金.核心素养理念下的初中数学课堂教学实践探索[J].文理导航(中旬),2024,(05):85-87.</w:t>
      </w:r>
    </w:p>
    <w:p>
      <w:pPr>
        <w:keepNext w:val="0"/>
        <w:keepLines w:val="0"/>
        <w:pageBreakBefore w:val="0"/>
        <w:numPr>
          <w:ilvl w:val="0"/>
          <w:numId w:val="1"/>
        </w:numPr>
        <w:kinsoku/>
        <w:wordWrap/>
        <w:overflowPunct/>
        <w:topLinePunct w:val="0"/>
        <w:autoSpaceDE/>
        <w:autoSpaceDN/>
        <w:bidi w:val="0"/>
        <w:adjustRightInd/>
        <w:snapToGrid/>
        <w:spacing w:line="360" w:lineRule="auto"/>
        <w:ind w:firstLine="480" w:firstLineChars="200"/>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洪海容.核心素养导向下初中数学大单元教学探析[J].考试周刊,2024,(15):105-108.</w:t>
      </w:r>
    </w:p>
    <w:p>
      <w:pPr>
        <w:keepNext w:val="0"/>
        <w:keepLines w:val="0"/>
        <w:pageBreakBefore w:val="0"/>
        <w:numPr>
          <w:ilvl w:val="0"/>
          <w:numId w:val="1"/>
        </w:numPr>
        <w:kinsoku/>
        <w:wordWrap/>
        <w:overflowPunct/>
        <w:topLinePunct w:val="0"/>
        <w:autoSpaceDE/>
        <w:autoSpaceDN/>
        <w:bidi w:val="0"/>
        <w:adjustRightInd/>
        <w:snapToGrid/>
        <w:spacing w:line="360" w:lineRule="auto"/>
        <w:ind w:firstLine="480" w:firstLineChars="200"/>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陆俊宏.信息2.0时代背景下的初中数学线上线下教学融合[J].读写算,2024,(11):74-76.</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9E67A7"/>
    <w:multiLevelType w:val="singleLevel"/>
    <w:tmpl w:val="609E67A7"/>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JiZDcxYTgwNmU0ZTc2YTJhM2RiZjdkYmE0ODUwMDcifQ=="/>
  </w:docVars>
  <w:rsids>
    <w:rsidRoot w:val="2BA1618F"/>
    <w:rsid w:val="289B08B1"/>
    <w:rsid w:val="2BA16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autoRedefin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2024-04-19T09:33:00Z</dcterms:created>
  <dc:creator>柠檬酸*</dc:creator>
  <cp:lastModifiedBy>Administrator</cp:lastModifiedBy>
  <dcterms:modified xsi:type="dcterms:W3CDTF">2024-04-22T06:49:12Z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9B4D19EAF3354FD1ABB019592EE15C43_11</vt:lpwstr>
  </property>
</Properties>
</file>