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118C2">
      <w:pPr>
        <w:pStyle w:val="2"/>
        <w:rPr>
          <w:rFonts w:ascii="黑体" w:hAnsi="黑体" w:eastAsia="黑体"/>
          <w:sz w:val="28"/>
          <w:szCs w:val="28"/>
        </w:rPr>
      </w:pPr>
      <w:r>
        <w:rPr>
          <w:rFonts w:hint="eastAsia" w:ascii="黑体" w:hAnsi="黑体" w:eastAsia="黑体"/>
          <w:sz w:val="28"/>
          <w:szCs w:val="28"/>
        </w:rPr>
        <w:t>新北区</w:t>
      </w:r>
      <w:r>
        <w:rPr>
          <w:rFonts w:hint="eastAsia" w:ascii="黑体" w:hAnsi="黑体" w:eastAsia="黑体"/>
          <w:sz w:val="28"/>
          <w:szCs w:val="28"/>
          <w:lang w:val="en-US" w:eastAsia="zh-CN"/>
        </w:rPr>
        <w:t>小学数学</w:t>
      </w:r>
      <w:r>
        <w:rPr>
          <w:rFonts w:hint="eastAsia" w:ascii="黑体" w:hAnsi="黑体" w:eastAsia="黑体"/>
          <w:sz w:val="28"/>
          <w:szCs w:val="28"/>
        </w:rPr>
        <w:t>姚建法</w:t>
      </w:r>
      <w:r>
        <w:rPr>
          <w:rFonts w:hint="eastAsia" w:ascii="黑体" w:hAnsi="黑体" w:eastAsia="黑体"/>
          <w:sz w:val="28"/>
          <w:szCs w:val="28"/>
          <w:lang w:val="en-US" w:eastAsia="zh-CN"/>
        </w:rPr>
        <w:t>卓越</w:t>
      </w:r>
      <w:r>
        <w:rPr>
          <w:rFonts w:hint="eastAsia" w:ascii="黑体" w:hAnsi="黑体" w:eastAsia="黑体"/>
          <w:sz w:val="28"/>
          <w:szCs w:val="28"/>
        </w:rPr>
        <w:t>教师成长营</w:t>
      </w:r>
      <w:r>
        <w:rPr>
          <w:rFonts w:hint="eastAsia" w:ascii="黑体" w:hAnsi="黑体" w:eastAsia="黑体"/>
          <w:sz w:val="28"/>
          <w:szCs w:val="28"/>
          <w:lang w:val="en-US" w:eastAsia="zh-CN"/>
        </w:rPr>
        <w:t>2024-2025学年度</w:t>
      </w:r>
      <w:r>
        <w:rPr>
          <w:rFonts w:hint="eastAsia" w:ascii="黑体" w:hAnsi="黑体" w:eastAsia="黑体"/>
          <w:sz w:val="28"/>
          <w:szCs w:val="28"/>
        </w:rPr>
        <w:t>研修方案</w:t>
      </w:r>
    </w:p>
    <w:p w14:paraId="556F1403">
      <w:pPr>
        <w:spacing w:line="540" w:lineRule="exact"/>
        <w:ind w:firstLine="482" w:firstLineChars="200"/>
        <w:rPr>
          <w:rFonts w:ascii="仿宋_GB2312"/>
          <w:b/>
          <w:sz w:val="24"/>
          <w:szCs w:val="24"/>
        </w:rPr>
      </w:pPr>
      <w:r>
        <w:rPr>
          <w:rFonts w:hint="eastAsia" w:ascii="仿宋_GB2312"/>
          <w:b/>
          <w:sz w:val="24"/>
          <w:szCs w:val="24"/>
        </w:rPr>
        <w:t>一、成长营基本情况</w:t>
      </w:r>
    </w:p>
    <w:p w14:paraId="7562FE78">
      <w:pPr>
        <w:spacing w:line="540" w:lineRule="exact"/>
        <w:ind w:firstLine="482" w:firstLineChars="200"/>
        <w:rPr>
          <w:rFonts w:ascii="仿宋_GB2312"/>
          <w:b/>
          <w:sz w:val="24"/>
          <w:szCs w:val="24"/>
        </w:rPr>
      </w:pPr>
      <w:r>
        <w:rPr>
          <w:rFonts w:hint="eastAsia" w:ascii="仿宋_GB2312"/>
          <w:b/>
          <w:sz w:val="24"/>
          <w:szCs w:val="24"/>
        </w:rPr>
        <w:t>1.营员基本情况</w:t>
      </w:r>
    </w:p>
    <w:p w14:paraId="29D4E17E">
      <w:pPr>
        <w:spacing w:line="540" w:lineRule="exact"/>
        <w:ind w:firstLine="480" w:firstLineChars="200"/>
        <w:rPr>
          <w:rFonts w:hint="default" w:ascii="仿宋_GB2312" w:eastAsia="仿宋_GB2312"/>
          <w:sz w:val="24"/>
          <w:szCs w:val="24"/>
          <w:lang w:val="en-US" w:eastAsia="zh-CN"/>
        </w:rPr>
      </w:pPr>
      <w:r>
        <w:rPr>
          <w:rFonts w:hint="eastAsia" w:ascii="仿宋_GB2312"/>
          <w:sz w:val="24"/>
          <w:szCs w:val="24"/>
        </w:rPr>
        <w:t>成长营采取“1+2+</w:t>
      </w:r>
      <w:r>
        <w:rPr>
          <w:rFonts w:hint="eastAsia" w:ascii="仿宋_GB2312"/>
          <w:sz w:val="24"/>
          <w:szCs w:val="24"/>
          <w:lang w:val="en-US" w:eastAsia="zh-CN"/>
        </w:rPr>
        <w:t>17+14</w:t>
      </w:r>
      <w:r>
        <w:rPr>
          <w:rFonts w:hint="eastAsia" w:ascii="仿宋_GB2312"/>
          <w:sz w:val="24"/>
          <w:szCs w:val="24"/>
        </w:rPr>
        <w:t>”模式，即1位领衔人、2位助理、1</w:t>
      </w:r>
      <w:r>
        <w:rPr>
          <w:rFonts w:hint="eastAsia" w:ascii="仿宋_GB2312"/>
          <w:sz w:val="24"/>
          <w:szCs w:val="24"/>
          <w:lang w:val="en-US" w:eastAsia="zh-CN"/>
        </w:rPr>
        <w:t>7</w:t>
      </w:r>
      <w:r>
        <w:rPr>
          <w:rFonts w:hint="eastAsia" w:ascii="仿宋_GB2312"/>
          <w:sz w:val="24"/>
          <w:szCs w:val="24"/>
        </w:rPr>
        <w:t>名营员</w:t>
      </w:r>
      <w:r>
        <w:rPr>
          <w:rFonts w:hint="eastAsia" w:ascii="仿宋_GB2312"/>
          <w:sz w:val="24"/>
          <w:szCs w:val="24"/>
          <w:lang w:eastAsia="zh-CN"/>
        </w:rPr>
        <w:t>、</w:t>
      </w:r>
      <w:r>
        <w:rPr>
          <w:rFonts w:hint="eastAsia" w:ascii="仿宋_GB2312"/>
          <w:sz w:val="24"/>
          <w:szCs w:val="24"/>
          <w:lang w:val="en-US" w:eastAsia="zh-CN"/>
        </w:rPr>
        <w:t>14名编外与课题组成员</w:t>
      </w:r>
      <w:r>
        <w:rPr>
          <w:rFonts w:hint="eastAsia" w:ascii="仿宋_GB2312"/>
          <w:sz w:val="24"/>
          <w:szCs w:val="24"/>
        </w:rPr>
        <w:t>。</w:t>
      </w:r>
      <w:r>
        <w:rPr>
          <w:rFonts w:hint="eastAsia" w:ascii="仿宋_GB2312"/>
          <w:sz w:val="24"/>
          <w:szCs w:val="24"/>
          <w:lang w:val="en-US" w:eastAsia="zh-CN"/>
        </w:rPr>
        <w:t>原营员罗雯娟进入常州市名教师工作室但仍作为课题组核心成员参加活动；三井小学陈赵贤新通过申请成为新营员。</w:t>
      </w:r>
    </w:p>
    <w:p w14:paraId="46ACD059">
      <w:pPr>
        <w:spacing w:line="540" w:lineRule="exact"/>
        <w:ind w:firstLine="482" w:firstLineChars="200"/>
        <w:rPr>
          <w:rFonts w:hint="eastAsia" w:ascii="仿宋_GB2312"/>
          <w:sz w:val="24"/>
          <w:szCs w:val="24"/>
          <w:lang w:val="en-US" w:eastAsia="zh-CN"/>
        </w:rPr>
      </w:pPr>
      <w:r>
        <w:rPr>
          <w:rFonts w:hint="eastAsia" w:ascii="仿宋_GB2312"/>
          <w:b/>
          <w:sz w:val="24"/>
          <w:szCs w:val="24"/>
        </w:rPr>
        <w:t>2.成长营研修</w:t>
      </w:r>
      <w:r>
        <w:rPr>
          <w:rFonts w:hint="eastAsia" w:ascii="仿宋_GB2312"/>
          <w:b/>
          <w:sz w:val="24"/>
          <w:szCs w:val="24"/>
          <w:lang w:val="en-US" w:eastAsia="zh-CN"/>
        </w:rPr>
        <w:t>主题</w:t>
      </w:r>
      <w:r>
        <w:rPr>
          <w:rFonts w:hint="eastAsia" w:ascii="仿宋_GB2312"/>
          <w:sz w:val="24"/>
          <w:szCs w:val="24"/>
        </w:rPr>
        <w:t>：</w:t>
      </w:r>
      <w:r>
        <w:rPr>
          <w:rFonts w:hint="eastAsia" w:ascii="仿宋_GB2312"/>
          <w:sz w:val="24"/>
          <w:szCs w:val="24"/>
          <w:lang w:val="en-US" w:eastAsia="zh-CN"/>
        </w:rPr>
        <w:t>基于真实情境问题解决的小学生数学</w:t>
      </w:r>
      <w:r>
        <w:rPr>
          <w:rFonts w:hint="eastAsia" w:ascii="仿宋_GB2312"/>
          <w:sz w:val="24"/>
          <w:szCs w:val="24"/>
        </w:rPr>
        <w:t>多元表征</w:t>
      </w:r>
      <w:r>
        <w:rPr>
          <w:rFonts w:hint="eastAsia" w:ascii="仿宋_GB2312"/>
          <w:sz w:val="24"/>
          <w:szCs w:val="24"/>
          <w:lang w:val="en-US" w:eastAsia="zh-CN"/>
        </w:rPr>
        <w:t>学习</w:t>
      </w:r>
    </w:p>
    <w:p w14:paraId="6D3C3C0F">
      <w:pPr>
        <w:spacing w:line="540" w:lineRule="exact"/>
        <w:ind w:firstLine="480" w:firstLineChars="200"/>
        <w:rPr>
          <w:rFonts w:hint="eastAsia" w:ascii="仿宋_GB2312"/>
          <w:sz w:val="24"/>
          <w:szCs w:val="24"/>
        </w:rPr>
      </w:pPr>
      <w:r>
        <w:rPr>
          <w:rFonts w:hint="eastAsia" w:ascii="仿宋_GB2312"/>
          <w:sz w:val="24"/>
          <w:szCs w:val="24"/>
        </w:rPr>
        <w:t>(1)真实情境问题与小学生数学多元表征学习的内涵、特征与功能</w:t>
      </w:r>
    </w:p>
    <w:p w14:paraId="67A63D83">
      <w:pPr>
        <w:spacing w:line="540" w:lineRule="exact"/>
        <w:ind w:left="480" w:leftChars="150" w:firstLine="0" w:firstLineChars="0"/>
        <w:rPr>
          <w:rFonts w:hint="eastAsia" w:ascii="仿宋_GB2312"/>
          <w:sz w:val="24"/>
          <w:szCs w:val="24"/>
        </w:rPr>
      </w:pPr>
      <w:r>
        <w:rPr>
          <w:rFonts w:hint="eastAsia" w:ascii="仿宋_GB2312"/>
          <w:sz w:val="24"/>
          <w:szCs w:val="24"/>
        </w:rPr>
        <w:t>(2)基于真实情境问题解决的小学生数学多元表征学习现状</w:t>
      </w:r>
    </w:p>
    <w:p w14:paraId="58982E4E">
      <w:pPr>
        <w:spacing w:line="540" w:lineRule="exact"/>
        <w:ind w:firstLine="480" w:firstLineChars="200"/>
        <w:rPr>
          <w:rFonts w:hint="eastAsia" w:ascii="仿宋_GB2312"/>
          <w:sz w:val="24"/>
          <w:szCs w:val="24"/>
        </w:rPr>
      </w:pPr>
      <w:r>
        <w:rPr>
          <w:rFonts w:hint="eastAsia" w:ascii="仿宋_GB2312"/>
          <w:sz w:val="24"/>
          <w:szCs w:val="24"/>
        </w:rPr>
        <w:t>(3)真实情境问题的设计研究及其与多元表征学习之间的关系</w:t>
      </w:r>
    </w:p>
    <w:p w14:paraId="3573F945">
      <w:pPr>
        <w:spacing w:line="540" w:lineRule="exact"/>
        <w:ind w:left="0" w:leftChars="0" w:firstLine="480" w:firstLineChars="200"/>
        <w:rPr>
          <w:rFonts w:hint="eastAsia" w:ascii="仿宋_GB2312"/>
          <w:sz w:val="24"/>
          <w:szCs w:val="24"/>
          <w:lang w:val="en-US" w:eastAsia="zh-CN"/>
        </w:rPr>
      </w:pPr>
      <w:r>
        <w:rPr>
          <w:rFonts w:hint="eastAsia" w:ascii="仿宋_GB2312"/>
          <w:sz w:val="24"/>
          <w:szCs w:val="24"/>
        </w:rPr>
        <w:t>(4)基于真实情境问题解决的小学生数学多元表征学习的教学设计与模</w:t>
      </w:r>
      <w:r>
        <w:rPr>
          <w:rFonts w:hint="eastAsia" w:ascii="仿宋_GB2312"/>
          <w:sz w:val="24"/>
          <w:szCs w:val="24"/>
          <w:lang w:val="en-US" w:eastAsia="zh-CN"/>
        </w:rPr>
        <w:t>型</w:t>
      </w:r>
    </w:p>
    <w:p w14:paraId="2076BC9C">
      <w:pPr>
        <w:spacing w:line="540" w:lineRule="exact"/>
        <w:ind w:left="0" w:leftChars="0" w:firstLine="480" w:firstLineChars="200"/>
        <w:rPr>
          <w:rFonts w:hint="eastAsia" w:ascii="仿宋_GB2312"/>
          <w:sz w:val="24"/>
          <w:szCs w:val="24"/>
        </w:rPr>
      </w:pPr>
      <w:r>
        <w:rPr>
          <w:rFonts w:hint="eastAsia" w:ascii="仿宋_GB2312"/>
          <w:sz w:val="24"/>
          <w:szCs w:val="24"/>
        </w:rPr>
        <w:t>(</w:t>
      </w:r>
      <w:r>
        <w:rPr>
          <w:rFonts w:hint="eastAsia" w:ascii="仿宋_GB2312"/>
          <w:sz w:val="24"/>
          <w:szCs w:val="24"/>
          <w:lang w:val="en-US" w:eastAsia="zh-CN"/>
        </w:rPr>
        <w:t>5</w:t>
      </w:r>
      <w:r>
        <w:rPr>
          <w:rFonts w:hint="eastAsia" w:ascii="仿宋_GB2312"/>
          <w:sz w:val="24"/>
          <w:szCs w:val="24"/>
        </w:rPr>
        <w:t>)基于真实情境问题解决的小学生数学多元表征学习手册</w:t>
      </w:r>
    </w:p>
    <w:p w14:paraId="502BE1C6">
      <w:pPr>
        <w:spacing w:line="540" w:lineRule="exact"/>
        <w:ind w:left="0" w:leftChars="0" w:firstLine="480" w:firstLineChars="0"/>
        <w:rPr>
          <w:rFonts w:hint="eastAsia" w:ascii="仿宋_GB2312"/>
          <w:sz w:val="24"/>
          <w:szCs w:val="24"/>
        </w:rPr>
      </w:pPr>
      <w:r>
        <w:rPr>
          <w:rFonts w:hint="eastAsia" w:ascii="仿宋_GB2312"/>
          <w:sz w:val="24"/>
          <w:szCs w:val="24"/>
        </w:rPr>
        <w:t>(</w:t>
      </w:r>
      <w:r>
        <w:rPr>
          <w:rFonts w:hint="eastAsia" w:ascii="仿宋_GB2312"/>
          <w:sz w:val="24"/>
          <w:szCs w:val="24"/>
          <w:lang w:val="en-US" w:eastAsia="zh-CN"/>
        </w:rPr>
        <w:t>6</w:t>
      </w:r>
      <w:r>
        <w:rPr>
          <w:rFonts w:hint="eastAsia" w:ascii="仿宋_GB2312"/>
          <w:sz w:val="24"/>
          <w:szCs w:val="24"/>
        </w:rPr>
        <w:t>)基于真实情境问题解决的小学生数学多元表征学习的教学策略与范例</w:t>
      </w:r>
    </w:p>
    <w:p w14:paraId="141FA7A0">
      <w:pPr>
        <w:spacing w:line="540" w:lineRule="exact"/>
        <w:ind w:left="0" w:leftChars="0" w:firstLine="480" w:firstLineChars="0"/>
        <w:rPr>
          <w:rFonts w:hint="eastAsia" w:ascii="仿宋_GB2312"/>
          <w:sz w:val="24"/>
          <w:szCs w:val="24"/>
        </w:rPr>
      </w:pPr>
      <w:r>
        <w:rPr>
          <w:rFonts w:hint="eastAsia" w:ascii="仿宋_GB2312"/>
          <w:b/>
          <w:bCs/>
          <w:sz w:val="24"/>
          <w:szCs w:val="24"/>
          <w:lang w:val="en-US" w:eastAsia="zh-CN"/>
        </w:rPr>
        <w:t>本学年重点：</w:t>
      </w:r>
      <w:r>
        <w:rPr>
          <w:rFonts w:hint="eastAsia" w:ascii="仿宋_GB2312"/>
          <w:b/>
          <w:bCs/>
          <w:sz w:val="24"/>
          <w:szCs w:val="24"/>
          <w:lang w:eastAsia="zh-CN"/>
        </w:rPr>
        <w:t>（</w:t>
      </w:r>
      <w:r>
        <w:rPr>
          <w:rFonts w:hint="eastAsia" w:ascii="仿宋_GB2312"/>
          <w:b/>
          <w:bCs/>
          <w:sz w:val="24"/>
          <w:szCs w:val="24"/>
          <w:lang w:val="en-US" w:eastAsia="zh-CN"/>
        </w:rPr>
        <w:t>3</w:t>
      </w:r>
      <w:r>
        <w:rPr>
          <w:rFonts w:hint="eastAsia" w:ascii="仿宋_GB2312"/>
          <w:b/>
          <w:bCs/>
          <w:sz w:val="24"/>
          <w:szCs w:val="24"/>
          <w:lang w:eastAsia="zh-CN"/>
        </w:rPr>
        <w:t>）（</w:t>
      </w:r>
      <w:r>
        <w:rPr>
          <w:rFonts w:hint="eastAsia" w:ascii="仿宋_GB2312"/>
          <w:b/>
          <w:bCs/>
          <w:sz w:val="24"/>
          <w:szCs w:val="24"/>
          <w:lang w:val="en-US" w:eastAsia="zh-CN"/>
        </w:rPr>
        <w:t>4</w:t>
      </w:r>
      <w:r>
        <w:rPr>
          <w:rFonts w:hint="eastAsia" w:ascii="仿宋_GB2312"/>
          <w:b/>
          <w:bCs/>
          <w:sz w:val="24"/>
          <w:szCs w:val="24"/>
          <w:lang w:eastAsia="zh-CN"/>
        </w:rPr>
        <w:t>）（</w:t>
      </w:r>
      <w:r>
        <w:rPr>
          <w:rFonts w:hint="eastAsia" w:ascii="仿宋_GB2312"/>
          <w:b/>
          <w:bCs/>
          <w:sz w:val="24"/>
          <w:szCs w:val="24"/>
          <w:lang w:val="en-US" w:eastAsia="zh-CN"/>
        </w:rPr>
        <w:t>6</w:t>
      </w:r>
      <w:r>
        <w:rPr>
          <w:rFonts w:hint="eastAsia" w:ascii="仿宋_GB2312"/>
          <w:b/>
          <w:bCs/>
          <w:sz w:val="24"/>
          <w:szCs w:val="24"/>
          <w:lang w:eastAsia="zh-CN"/>
        </w:rPr>
        <w:t>）</w:t>
      </w:r>
      <w:bookmarkStart w:id="0" w:name="_GoBack"/>
      <w:bookmarkEnd w:id="0"/>
    </w:p>
    <w:p w14:paraId="3502E066">
      <w:pPr>
        <w:spacing w:line="540" w:lineRule="exact"/>
        <w:ind w:left="0" w:leftChars="0" w:firstLine="0" w:firstLineChars="0"/>
        <w:rPr>
          <w:rFonts w:ascii="仿宋_GB2312"/>
          <w:b/>
          <w:sz w:val="24"/>
          <w:szCs w:val="24"/>
        </w:rPr>
      </w:pPr>
      <w:r>
        <w:rPr>
          <w:rFonts w:hint="eastAsia" w:ascii="仿宋_GB2312"/>
          <w:sz w:val="24"/>
          <w:szCs w:val="24"/>
        </w:rPr>
        <w:t xml:space="preserve">    </w:t>
      </w:r>
      <w:r>
        <w:rPr>
          <w:rFonts w:hint="eastAsia" w:ascii="仿宋_GB2312"/>
          <w:b/>
          <w:sz w:val="24"/>
          <w:szCs w:val="24"/>
        </w:rPr>
        <w:t>二、定位及目标</w:t>
      </w:r>
    </w:p>
    <w:p w14:paraId="32A13BAE">
      <w:pPr>
        <w:spacing w:line="540" w:lineRule="exact"/>
        <w:ind w:firstLine="482" w:firstLineChars="200"/>
        <w:rPr>
          <w:rFonts w:ascii="仿宋_GB2312"/>
          <w:b/>
          <w:sz w:val="24"/>
          <w:szCs w:val="24"/>
        </w:rPr>
      </w:pPr>
      <w:r>
        <w:rPr>
          <w:rFonts w:ascii="仿宋_GB2312"/>
          <w:b/>
          <w:sz w:val="24"/>
          <w:szCs w:val="24"/>
        </w:rPr>
        <w:t>1.</w:t>
      </w:r>
      <w:r>
        <w:rPr>
          <w:rFonts w:hint="eastAsia" w:ascii="仿宋_GB2312"/>
          <w:b/>
          <w:sz w:val="24"/>
          <w:szCs w:val="24"/>
        </w:rPr>
        <w:t>定位</w:t>
      </w:r>
    </w:p>
    <w:p w14:paraId="7B62D354">
      <w:pPr>
        <w:spacing w:line="540" w:lineRule="exact"/>
        <w:ind w:firstLine="360" w:firstLineChars="150"/>
        <w:rPr>
          <w:rFonts w:ascii="仿宋_GB2312"/>
          <w:sz w:val="24"/>
          <w:szCs w:val="24"/>
        </w:rPr>
      </w:pPr>
      <w:r>
        <w:rPr>
          <w:rFonts w:hint="eastAsia" w:ascii="仿宋_GB2312"/>
          <w:sz w:val="24"/>
          <w:szCs w:val="24"/>
        </w:rPr>
        <w:t>“真”的平台：开展真实践，明晰真路径，建设真项目，寻求真策略</w:t>
      </w:r>
    </w:p>
    <w:p w14:paraId="7D311256">
      <w:pPr>
        <w:spacing w:line="540" w:lineRule="exact"/>
        <w:ind w:firstLine="360" w:firstLineChars="150"/>
        <w:rPr>
          <w:rFonts w:ascii="仿宋_GB2312"/>
          <w:sz w:val="24"/>
          <w:szCs w:val="24"/>
        </w:rPr>
      </w:pPr>
      <w:r>
        <w:rPr>
          <w:rFonts w:hint="eastAsia" w:ascii="仿宋_GB2312"/>
          <w:sz w:val="24"/>
          <w:szCs w:val="24"/>
        </w:rPr>
        <w:t>“动”的舞台：灵动的课堂，生动的分享，互动的交往，能动的创想</w:t>
      </w:r>
    </w:p>
    <w:p w14:paraId="7B9EE402">
      <w:pPr>
        <w:spacing w:line="540" w:lineRule="exact"/>
        <w:ind w:firstLine="482" w:firstLineChars="200"/>
        <w:rPr>
          <w:rFonts w:ascii="仿宋_GB2312"/>
          <w:b/>
          <w:sz w:val="24"/>
          <w:szCs w:val="24"/>
        </w:rPr>
      </w:pPr>
      <w:r>
        <w:rPr>
          <w:rFonts w:ascii="仿宋_GB2312"/>
          <w:b/>
          <w:sz w:val="24"/>
          <w:szCs w:val="24"/>
        </w:rPr>
        <w:t>2.</w:t>
      </w:r>
      <w:r>
        <w:rPr>
          <w:rFonts w:hint="eastAsia" w:ascii="仿宋_GB2312"/>
          <w:b/>
          <w:sz w:val="24"/>
          <w:szCs w:val="24"/>
        </w:rPr>
        <w:t>目标</w:t>
      </w:r>
    </w:p>
    <w:p w14:paraId="39276889">
      <w:pPr>
        <w:spacing w:line="540" w:lineRule="exact"/>
        <w:ind w:firstLine="480" w:firstLineChars="200"/>
        <w:rPr>
          <w:rFonts w:hint="eastAsia" w:ascii="仿宋_GB2312"/>
          <w:sz w:val="24"/>
          <w:szCs w:val="24"/>
        </w:rPr>
      </w:pPr>
      <w:r>
        <w:rPr>
          <w:rFonts w:hint="eastAsia" w:ascii="仿宋_GB2312"/>
          <w:sz w:val="24"/>
          <w:szCs w:val="24"/>
        </w:rPr>
        <w:t>聚集教研资源力量，聚力</w:t>
      </w:r>
      <w:r>
        <w:rPr>
          <w:rFonts w:hint="eastAsia" w:ascii="仿宋_GB2312"/>
          <w:sz w:val="24"/>
          <w:szCs w:val="24"/>
          <w:lang w:val="en-US" w:eastAsia="zh-CN"/>
        </w:rPr>
        <w:t>营</w:t>
      </w:r>
      <w:r>
        <w:rPr>
          <w:rFonts w:hint="eastAsia" w:ascii="仿宋_GB2312"/>
          <w:sz w:val="24"/>
          <w:szCs w:val="24"/>
        </w:rPr>
        <w:t>员发展自觉，聚焦基于情境问题解决的小学生数学多元表征学习，清晰学理认知，提升创编例题、改造习题、</w:t>
      </w:r>
      <w:r>
        <w:rPr>
          <w:rFonts w:hint="eastAsia" w:ascii="仿宋_GB2312"/>
          <w:sz w:val="24"/>
          <w:szCs w:val="24"/>
          <w:lang w:val="en-US" w:eastAsia="zh-CN"/>
        </w:rPr>
        <w:t>设计</w:t>
      </w:r>
      <w:r>
        <w:rPr>
          <w:rFonts w:hint="eastAsia" w:ascii="仿宋_GB2312"/>
          <w:sz w:val="24"/>
          <w:szCs w:val="24"/>
        </w:rPr>
        <w:t>作业的能力，提炼教学策略，建构教学模型，开发教与学手册，形成教学范式，进而促进教学方式变革。打造基于数学多元表征教学共生体，充分发挥</w:t>
      </w:r>
      <w:r>
        <w:rPr>
          <w:rFonts w:hint="eastAsia" w:ascii="仿宋_GB2312"/>
          <w:sz w:val="24"/>
          <w:szCs w:val="24"/>
          <w:lang w:val="en-US" w:eastAsia="zh-CN"/>
        </w:rPr>
        <w:t>营员</w:t>
      </w:r>
      <w:r>
        <w:rPr>
          <w:rFonts w:hint="eastAsia" w:ascii="仿宋_GB2312"/>
          <w:sz w:val="24"/>
          <w:szCs w:val="24"/>
        </w:rPr>
        <w:t>引领价值，并通过多元表征教学促进科研能力，</w:t>
      </w:r>
      <w:r>
        <w:rPr>
          <w:rFonts w:hint="eastAsia" w:ascii="仿宋_GB2312"/>
          <w:sz w:val="24"/>
          <w:szCs w:val="24"/>
          <w:lang w:val="en-US" w:eastAsia="zh-CN"/>
        </w:rPr>
        <w:t>与</w:t>
      </w:r>
      <w:r>
        <w:rPr>
          <w:rFonts w:hint="eastAsia" w:ascii="仿宋_GB2312"/>
          <w:sz w:val="24"/>
          <w:szCs w:val="24"/>
        </w:rPr>
        <w:t>专业发展，形成各校“星星之火”。</w:t>
      </w:r>
    </w:p>
    <w:p w14:paraId="0A5F4EC2">
      <w:pPr>
        <w:spacing w:line="540" w:lineRule="exact"/>
        <w:ind w:firstLine="482" w:firstLineChars="200"/>
        <w:rPr>
          <w:rFonts w:ascii="仿宋_GB2312"/>
          <w:b/>
          <w:sz w:val="24"/>
          <w:szCs w:val="24"/>
        </w:rPr>
      </w:pPr>
      <w:r>
        <w:rPr>
          <w:rFonts w:hint="eastAsia" w:ascii="仿宋_GB2312"/>
          <w:b/>
          <w:sz w:val="24"/>
          <w:szCs w:val="24"/>
        </w:rPr>
        <w:t>三、主要措施</w:t>
      </w:r>
    </w:p>
    <w:p w14:paraId="2666EB3D">
      <w:pPr>
        <w:spacing w:line="540" w:lineRule="exact"/>
        <w:ind w:left="0" w:leftChars="0" w:firstLine="0" w:firstLineChars="0"/>
        <w:rPr>
          <w:rFonts w:hint="eastAsia" w:ascii="仿宋_GB2312"/>
          <w:b w:val="0"/>
          <w:bCs/>
          <w:sz w:val="24"/>
          <w:szCs w:val="24"/>
        </w:rPr>
      </w:pPr>
      <w:r>
        <w:rPr>
          <w:rFonts w:ascii="仿宋_GB2312"/>
          <w:b w:val="0"/>
          <w:bCs/>
          <w:sz w:val="24"/>
          <w:szCs w:val="24"/>
        </w:rPr>
        <w:t xml:space="preserve">   </w:t>
      </w:r>
      <w:r>
        <w:rPr>
          <w:rFonts w:hint="eastAsia" w:ascii="仿宋_GB2312"/>
          <w:b/>
          <w:bCs w:val="0"/>
          <w:sz w:val="24"/>
          <w:szCs w:val="24"/>
        </w:rPr>
        <w:t>（1）网络研修：路径</w:t>
      </w:r>
      <w:r>
        <w:rPr>
          <w:rFonts w:hint="eastAsia" w:ascii="仿宋_GB2312"/>
          <w:b/>
          <w:bCs w:val="0"/>
          <w:sz w:val="24"/>
          <w:szCs w:val="24"/>
          <w:lang w:val="en-US" w:eastAsia="zh-CN"/>
        </w:rPr>
        <w:t>多元</w:t>
      </w:r>
      <w:r>
        <w:rPr>
          <w:rFonts w:hint="eastAsia" w:ascii="仿宋_GB2312"/>
          <w:b/>
          <w:bCs w:val="0"/>
          <w:sz w:val="24"/>
          <w:szCs w:val="24"/>
        </w:rPr>
        <w:t>。</w:t>
      </w:r>
      <w:r>
        <w:rPr>
          <w:rFonts w:hint="eastAsia" w:ascii="仿宋_GB2312"/>
          <w:b w:val="0"/>
          <w:bCs/>
          <w:sz w:val="24"/>
          <w:szCs w:val="24"/>
        </w:rPr>
        <w:t>运行网站，建立QQ群，实现在线即时互动与资源积累。关注“课程教材教法”“苏教版小学数学教材编辑部”“小学数学专业化教材解读工作站”“张齐华数学工作室”“基础教育课程”等专业网站与微信公众号，及时了解数学前沿讯息，让网络研修成为常态，提升理论素养。</w:t>
      </w:r>
    </w:p>
    <w:p w14:paraId="6B146FAB">
      <w:pPr>
        <w:spacing w:line="540" w:lineRule="exact"/>
        <w:ind w:left="0" w:leftChars="0" w:firstLine="0" w:firstLineChars="0"/>
        <w:rPr>
          <w:rFonts w:hint="eastAsia" w:ascii="仿宋_GB2312"/>
          <w:b w:val="0"/>
          <w:bCs/>
          <w:sz w:val="24"/>
          <w:szCs w:val="24"/>
        </w:rPr>
      </w:pPr>
      <w:r>
        <w:rPr>
          <w:rFonts w:hint="eastAsia" w:ascii="仿宋_GB2312"/>
          <w:b w:val="0"/>
          <w:bCs/>
          <w:sz w:val="24"/>
          <w:szCs w:val="24"/>
        </w:rPr>
        <w:t xml:space="preserve">   </w:t>
      </w:r>
      <w:r>
        <w:rPr>
          <w:rFonts w:hint="eastAsia" w:ascii="仿宋_GB2312"/>
          <w:b/>
          <w:bCs w:val="0"/>
          <w:sz w:val="24"/>
          <w:szCs w:val="24"/>
        </w:rPr>
        <w:t xml:space="preserve"> （2）专题研讨：研修</w:t>
      </w:r>
      <w:r>
        <w:rPr>
          <w:rFonts w:hint="eastAsia" w:ascii="仿宋_GB2312"/>
          <w:b/>
          <w:bCs w:val="0"/>
          <w:sz w:val="24"/>
          <w:szCs w:val="24"/>
          <w:lang w:val="en-US" w:eastAsia="zh-CN"/>
        </w:rPr>
        <w:t>形态</w:t>
      </w:r>
      <w:r>
        <w:rPr>
          <w:rFonts w:hint="eastAsia" w:ascii="仿宋_GB2312"/>
          <w:b/>
          <w:bCs w:val="0"/>
          <w:sz w:val="24"/>
          <w:szCs w:val="24"/>
        </w:rPr>
        <w:t>。</w:t>
      </w:r>
      <w:r>
        <w:rPr>
          <w:rFonts w:hint="eastAsia" w:ascii="仿宋_GB2312"/>
          <w:b w:val="0"/>
          <w:bCs/>
          <w:sz w:val="24"/>
          <w:szCs w:val="24"/>
        </w:rPr>
        <w:t>一方面，通过数学新课标、专业书籍、杂志等的理论学习或学术沙龙活动，提升理性认识与操作借鉴。另一方面，每次线下集中活动尝试“理论微坛+教学实践+主题评课+反馈重构+成课成文”研讨模式。</w:t>
      </w:r>
    </w:p>
    <w:p w14:paraId="3C573858">
      <w:pPr>
        <w:spacing w:line="540" w:lineRule="exact"/>
        <w:ind w:left="0" w:leftChars="0" w:firstLine="0" w:firstLineChars="0"/>
        <w:rPr>
          <w:rFonts w:hint="eastAsia" w:ascii="仿宋_GB2312"/>
          <w:b w:val="0"/>
          <w:bCs/>
          <w:sz w:val="24"/>
          <w:szCs w:val="24"/>
        </w:rPr>
      </w:pPr>
      <w:r>
        <w:rPr>
          <w:rFonts w:hint="eastAsia" w:ascii="仿宋_GB2312"/>
          <w:b w:val="0"/>
          <w:bCs/>
          <w:sz w:val="24"/>
          <w:szCs w:val="24"/>
        </w:rPr>
        <w:t xml:space="preserve">    </w:t>
      </w:r>
      <w:r>
        <w:rPr>
          <w:rFonts w:hint="eastAsia" w:ascii="仿宋_GB2312"/>
          <w:b/>
          <w:bCs w:val="0"/>
          <w:sz w:val="24"/>
          <w:szCs w:val="24"/>
        </w:rPr>
        <w:t>（3）项目研引：主题</w:t>
      </w:r>
      <w:r>
        <w:rPr>
          <w:rFonts w:hint="eastAsia" w:ascii="仿宋_GB2312"/>
          <w:b/>
          <w:bCs w:val="0"/>
          <w:sz w:val="24"/>
          <w:szCs w:val="24"/>
          <w:lang w:val="en-US" w:eastAsia="zh-CN"/>
        </w:rPr>
        <w:t>行动</w:t>
      </w:r>
      <w:r>
        <w:rPr>
          <w:rFonts w:hint="eastAsia" w:ascii="仿宋_GB2312"/>
          <w:b/>
          <w:bCs w:val="0"/>
          <w:sz w:val="24"/>
          <w:szCs w:val="24"/>
        </w:rPr>
        <w:t>。</w:t>
      </w:r>
      <w:r>
        <w:rPr>
          <w:rFonts w:hint="eastAsia" w:ascii="仿宋_GB2312"/>
          <w:b w:val="0"/>
          <w:bCs/>
          <w:sz w:val="24"/>
          <w:szCs w:val="24"/>
        </w:rPr>
        <w:t>围绕“基于真实情境问题解决的小学生数学多元表征学习研究”开展主题研修活动，重点从动作表征、图像表征、符号表征、言语表征四个维度开展研究，梳理例题内容结构，设计转换转译路径，提炼表征策略，建构学习模型，开发教与学手册，形成教学范式，成员完整经历研修过程，逐步形成自己的研修小项目，感受研修张力。</w:t>
      </w:r>
    </w:p>
    <w:p w14:paraId="6C20FB6C">
      <w:pPr>
        <w:spacing w:line="540" w:lineRule="exact"/>
        <w:ind w:left="0" w:leftChars="0" w:firstLine="0" w:firstLineChars="0"/>
        <w:rPr>
          <w:rFonts w:hint="eastAsia" w:ascii="仿宋_GB2312"/>
          <w:b w:val="0"/>
          <w:bCs/>
          <w:sz w:val="24"/>
          <w:szCs w:val="24"/>
        </w:rPr>
      </w:pPr>
      <w:r>
        <w:rPr>
          <w:rFonts w:hint="eastAsia" w:ascii="仿宋_GB2312"/>
          <w:b/>
          <w:bCs w:val="0"/>
          <w:sz w:val="24"/>
          <w:szCs w:val="24"/>
        </w:rPr>
        <w:t xml:space="preserve">    （</w:t>
      </w:r>
      <w:r>
        <w:rPr>
          <w:rFonts w:hint="eastAsia" w:ascii="仿宋_GB2312"/>
          <w:b/>
          <w:bCs w:val="0"/>
          <w:sz w:val="24"/>
          <w:szCs w:val="24"/>
          <w:lang w:val="en-US" w:eastAsia="zh-CN"/>
        </w:rPr>
        <w:t>4</w:t>
      </w:r>
      <w:r>
        <w:rPr>
          <w:rFonts w:hint="eastAsia" w:ascii="仿宋_GB2312"/>
          <w:b/>
          <w:bCs w:val="0"/>
          <w:sz w:val="24"/>
          <w:szCs w:val="24"/>
        </w:rPr>
        <w:t>）评价研推：</w:t>
      </w:r>
      <w:r>
        <w:rPr>
          <w:rFonts w:hint="eastAsia" w:ascii="仿宋_GB2312"/>
          <w:b/>
          <w:bCs w:val="0"/>
          <w:sz w:val="24"/>
          <w:szCs w:val="24"/>
          <w:lang w:val="en-US" w:eastAsia="zh-CN"/>
        </w:rPr>
        <w:t>过程赋能</w:t>
      </w:r>
      <w:r>
        <w:rPr>
          <w:rFonts w:hint="eastAsia" w:ascii="仿宋_GB2312"/>
          <w:b/>
          <w:bCs w:val="0"/>
          <w:sz w:val="24"/>
          <w:szCs w:val="24"/>
        </w:rPr>
        <w:t>。</w:t>
      </w:r>
      <w:r>
        <w:rPr>
          <w:rFonts w:hint="eastAsia" w:ascii="仿宋_GB2312"/>
          <w:b w:val="0"/>
          <w:bCs/>
          <w:sz w:val="24"/>
          <w:szCs w:val="24"/>
        </w:rPr>
        <w:t>一是开展教材解读、教学设计、评优课比赛、名师课堂观察与文章写作等专项活动，实施多元研评。二是要求成员每学年一节研讨课与一次微讲坛，每学期能围绕多元表征创作一篇论文，每学年发表一篇文章。</w:t>
      </w:r>
    </w:p>
    <w:p w14:paraId="4077DA60">
      <w:pPr>
        <w:spacing w:line="540" w:lineRule="exact"/>
        <w:ind w:left="0" w:leftChars="0" w:firstLine="482" w:firstLineChars="200"/>
        <w:rPr>
          <w:rFonts w:hint="eastAsia" w:ascii="仿宋_GB2312"/>
          <w:b w:val="0"/>
          <w:bCs/>
          <w:sz w:val="24"/>
          <w:szCs w:val="24"/>
        </w:rPr>
      </w:pPr>
      <w:r>
        <w:rPr>
          <w:rFonts w:hint="eastAsia" w:ascii="仿宋_GB2312"/>
          <w:b/>
          <w:bCs w:val="0"/>
          <w:sz w:val="24"/>
          <w:szCs w:val="24"/>
        </w:rPr>
        <w:t>（</w:t>
      </w:r>
      <w:r>
        <w:rPr>
          <w:rFonts w:hint="eastAsia" w:ascii="仿宋_GB2312"/>
          <w:b/>
          <w:bCs w:val="0"/>
          <w:sz w:val="24"/>
          <w:szCs w:val="24"/>
          <w:lang w:val="en-US" w:eastAsia="zh-CN"/>
        </w:rPr>
        <w:t>5</w:t>
      </w:r>
      <w:r>
        <w:rPr>
          <w:rFonts w:hint="eastAsia" w:ascii="仿宋_GB2312"/>
          <w:b/>
          <w:bCs w:val="0"/>
          <w:sz w:val="24"/>
          <w:szCs w:val="24"/>
        </w:rPr>
        <w:t>）导师研领：</w:t>
      </w:r>
      <w:r>
        <w:rPr>
          <w:rFonts w:hint="eastAsia" w:ascii="仿宋_GB2312"/>
          <w:b/>
          <w:bCs w:val="0"/>
          <w:sz w:val="24"/>
          <w:szCs w:val="24"/>
          <w:lang w:val="en-US" w:eastAsia="zh-CN"/>
        </w:rPr>
        <w:t>专业厚度</w:t>
      </w:r>
      <w:r>
        <w:rPr>
          <w:rFonts w:hint="eastAsia" w:ascii="仿宋_GB2312"/>
          <w:b/>
          <w:bCs w:val="0"/>
          <w:sz w:val="24"/>
          <w:szCs w:val="24"/>
        </w:rPr>
        <w:t>。</w:t>
      </w:r>
      <w:r>
        <w:rPr>
          <w:rFonts w:hint="eastAsia" w:ascii="仿宋_GB2312"/>
          <w:b w:val="0"/>
          <w:bCs/>
          <w:sz w:val="24"/>
          <w:szCs w:val="24"/>
        </w:rPr>
        <w:t>充分利用区内与省市的专家资源，组建理论与实践相结合的研修专家团队，既有“移动专家”，亦有“固定导师”。一方面，组织成员走出去，走到导师团成员身边去，或跟岗学习、或共同交流；另一方面定期与不定期邀请导师团入</w:t>
      </w:r>
      <w:r>
        <w:rPr>
          <w:rFonts w:hint="eastAsia" w:ascii="仿宋_GB2312"/>
          <w:b w:val="0"/>
          <w:bCs/>
          <w:sz w:val="24"/>
          <w:szCs w:val="24"/>
          <w:lang w:val="en-US" w:eastAsia="zh-CN"/>
        </w:rPr>
        <w:t>营</w:t>
      </w:r>
      <w:r>
        <w:rPr>
          <w:rFonts w:hint="eastAsia" w:ascii="仿宋_GB2312"/>
          <w:b w:val="0"/>
          <w:bCs/>
          <w:sz w:val="24"/>
          <w:szCs w:val="24"/>
        </w:rPr>
        <w:t>指导。</w:t>
      </w:r>
    </w:p>
    <w:p w14:paraId="3119F6A6">
      <w:pPr>
        <w:spacing w:line="540" w:lineRule="exact"/>
        <w:ind w:firstLine="482" w:firstLineChars="200"/>
        <w:rPr>
          <w:rFonts w:hint="default" w:ascii="仿宋_GB2312" w:eastAsia="仿宋_GB2312"/>
          <w:sz w:val="24"/>
          <w:szCs w:val="24"/>
          <w:lang w:val="en-US" w:eastAsia="zh-CN"/>
        </w:rPr>
      </w:pPr>
      <w:r>
        <w:rPr>
          <w:rFonts w:hint="eastAsia" w:ascii="仿宋_GB2312"/>
          <w:b/>
          <w:sz w:val="24"/>
          <w:szCs w:val="24"/>
          <w:lang w:val="en-US" w:eastAsia="zh-CN"/>
        </w:rPr>
        <w:t>四</w:t>
      </w:r>
      <w:r>
        <w:rPr>
          <w:rFonts w:hint="eastAsia" w:ascii="仿宋_GB2312"/>
          <w:b/>
          <w:bCs/>
          <w:sz w:val="24"/>
          <w:szCs w:val="24"/>
          <w:lang w:val="en-US" w:eastAsia="zh-CN"/>
        </w:rPr>
        <w:t>、</w:t>
      </w:r>
      <w:r>
        <w:rPr>
          <w:rFonts w:hint="eastAsia" w:ascii="仿宋_GB2312"/>
          <w:b/>
          <w:sz w:val="24"/>
          <w:szCs w:val="24"/>
        </w:rPr>
        <w:t>202</w:t>
      </w:r>
      <w:r>
        <w:rPr>
          <w:rFonts w:hint="eastAsia" w:ascii="仿宋_GB2312"/>
          <w:b/>
          <w:sz w:val="24"/>
          <w:szCs w:val="24"/>
          <w:lang w:val="en-US" w:eastAsia="zh-CN"/>
        </w:rPr>
        <w:t>3-2024学</w:t>
      </w:r>
      <w:r>
        <w:rPr>
          <w:rFonts w:hint="eastAsia" w:ascii="仿宋_GB2312"/>
          <w:b/>
          <w:sz w:val="24"/>
          <w:szCs w:val="24"/>
        </w:rPr>
        <w:t>年</w:t>
      </w:r>
      <w:r>
        <w:rPr>
          <w:rFonts w:hint="eastAsia" w:ascii="仿宋_GB2312"/>
          <w:b/>
          <w:sz w:val="24"/>
          <w:szCs w:val="24"/>
          <w:lang w:val="en-US" w:eastAsia="zh-CN"/>
        </w:rPr>
        <w:t>度</w:t>
      </w:r>
      <w:r>
        <w:rPr>
          <w:rFonts w:hint="eastAsia" w:ascii="仿宋_GB2312"/>
          <w:b/>
          <w:sz w:val="24"/>
          <w:szCs w:val="24"/>
        </w:rPr>
        <w:t>研修</w:t>
      </w:r>
      <w:r>
        <w:rPr>
          <w:rFonts w:hint="eastAsia" w:ascii="仿宋_GB2312"/>
          <w:b/>
          <w:sz w:val="24"/>
          <w:szCs w:val="24"/>
          <w:lang w:val="en-US" w:eastAsia="zh-CN"/>
        </w:rPr>
        <w:t>重点模块</w:t>
      </w:r>
    </w:p>
    <w:p w14:paraId="79714F16">
      <w:pPr>
        <w:spacing w:line="540" w:lineRule="exact"/>
        <w:ind w:firstLine="480" w:firstLineChars="200"/>
        <w:jc w:val="left"/>
        <w:rPr>
          <w:rFonts w:hint="default" w:ascii="仿宋_GB2312"/>
          <w:sz w:val="24"/>
          <w:szCs w:val="24"/>
          <w:lang w:val="en-US" w:eastAsia="zh-CN"/>
        </w:rPr>
      </w:pPr>
      <w:r>
        <w:rPr>
          <w:rFonts w:hint="eastAsia" w:ascii="仿宋_GB2312"/>
          <w:sz w:val="24"/>
          <w:szCs w:val="24"/>
          <w:lang w:val="en-US" w:eastAsia="zh-CN"/>
        </w:rPr>
        <w:t>模块一：专业表达：文献综述、论文撰写</w:t>
      </w:r>
    </w:p>
    <w:p w14:paraId="283181F9">
      <w:pPr>
        <w:spacing w:line="540" w:lineRule="exact"/>
        <w:ind w:firstLine="480" w:firstLineChars="200"/>
        <w:jc w:val="left"/>
        <w:rPr>
          <w:rFonts w:hint="default" w:ascii="仿宋_GB2312"/>
          <w:sz w:val="24"/>
          <w:szCs w:val="24"/>
          <w:lang w:val="en-US" w:eastAsia="zh-CN"/>
        </w:rPr>
      </w:pPr>
      <w:r>
        <w:rPr>
          <w:rFonts w:hint="eastAsia" w:ascii="仿宋_GB2312"/>
          <w:sz w:val="24"/>
          <w:szCs w:val="24"/>
          <w:lang w:val="en-US" w:eastAsia="zh-CN"/>
        </w:rPr>
        <w:t>模块二：专题研课：例题改造、习题创编、作业设计</w:t>
      </w:r>
    </w:p>
    <w:p w14:paraId="1EAA311C">
      <w:pPr>
        <w:spacing w:line="540" w:lineRule="exact"/>
        <w:ind w:firstLine="480" w:firstLineChars="200"/>
        <w:jc w:val="left"/>
        <w:rPr>
          <w:rFonts w:hint="eastAsia" w:ascii="仿宋_GB2312"/>
          <w:sz w:val="24"/>
          <w:szCs w:val="24"/>
          <w:lang w:val="en-US" w:eastAsia="zh-CN"/>
        </w:rPr>
      </w:pPr>
      <w:r>
        <w:rPr>
          <w:rFonts w:hint="eastAsia" w:ascii="仿宋_GB2312"/>
          <w:sz w:val="24"/>
          <w:szCs w:val="24"/>
          <w:lang w:val="en-US" w:eastAsia="zh-CN"/>
        </w:rPr>
        <w:t>模块三：专项阅读：文件定读、杂志订读、文章荐读</w:t>
      </w:r>
    </w:p>
    <w:p w14:paraId="38D5173A">
      <w:pPr>
        <w:spacing w:line="540" w:lineRule="exact"/>
        <w:ind w:firstLine="480" w:firstLineChars="200"/>
        <w:jc w:val="left"/>
        <w:rPr>
          <w:rFonts w:hint="default" w:ascii="仿宋_GB2312"/>
          <w:sz w:val="24"/>
          <w:szCs w:val="24"/>
          <w:lang w:val="en-US" w:eastAsia="zh-CN"/>
        </w:rPr>
      </w:pPr>
    </w:p>
    <w:p w14:paraId="4D654994">
      <w:pPr>
        <w:spacing w:line="540" w:lineRule="exact"/>
        <w:ind w:firstLine="480" w:firstLineChars="200"/>
        <w:jc w:val="right"/>
        <w:rPr>
          <w:rFonts w:hint="eastAsia" w:ascii="仿宋_GB2312" w:eastAsia="仿宋_GB2312"/>
          <w:sz w:val="24"/>
          <w:szCs w:val="24"/>
          <w:lang w:val="en-US" w:eastAsia="zh-CN"/>
        </w:rPr>
      </w:pPr>
      <w:r>
        <w:rPr>
          <w:rFonts w:hint="eastAsia" w:ascii="仿宋_GB2312"/>
          <w:sz w:val="24"/>
          <w:szCs w:val="24"/>
        </w:rPr>
        <w:t>20</w:t>
      </w:r>
      <w:r>
        <w:rPr>
          <w:rFonts w:hint="eastAsia" w:ascii="仿宋_GB2312"/>
          <w:sz w:val="24"/>
          <w:szCs w:val="24"/>
          <w:lang w:val="en-US" w:eastAsia="zh-CN"/>
        </w:rPr>
        <w:t>24</w:t>
      </w:r>
      <w:r>
        <w:rPr>
          <w:rFonts w:hint="eastAsia" w:ascii="仿宋_GB2312"/>
          <w:sz w:val="24"/>
          <w:szCs w:val="24"/>
        </w:rPr>
        <w:t>.</w:t>
      </w:r>
      <w:r>
        <w:rPr>
          <w:rFonts w:hint="eastAsia" w:ascii="仿宋_GB2312"/>
          <w:sz w:val="24"/>
          <w:szCs w:val="24"/>
          <w:lang w:val="en-US" w:eastAsia="zh-CN"/>
        </w:rPr>
        <w:t>08</w:t>
      </w:r>
    </w:p>
    <w:p w14:paraId="247BBABC">
      <w:pPr>
        <w:rPr>
          <w:rFonts w:hint="default" w:ascii="仿宋_GB2312" w:eastAsia="仿宋_GB2312"/>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AF2"/>
    <w:rsid w:val="00002B15"/>
    <w:rsid w:val="00002E97"/>
    <w:rsid w:val="000130E4"/>
    <w:rsid w:val="000242CC"/>
    <w:rsid w:val="00025B37"/>
    <w:rsid w:val="000268F9"/>
    <w:rsid w:val="0003575C"/>
    <w:rsid w:val="00042E4E"/>
    <w:rsid w:val="00044BD5"/>
    <w:rsid w:val="000530FE"/>
    <w:rsid w:val="00054DDC"/>
    <w:rsid w:val="000653DF"/>
    <w:rsid w:val="00073D94"/>
    <w:rsid w:val="000747D4"/>
    <w:rsid w:val="000759DD"/>
    <w:rsid w:val="000800F8"/>
    <w:rsid w:val="000821E0"/>
    <w:rsid w:val="0008320B"/>
    <w:rsid w:val="0008404A"/>
    <w:rsid w:val="0008541F"/>
    <w:rsid w:val="00085E25"/>
    <w:rsid w:val="00093655"/>
    <w:rsid w:val="000A61C8"/>
    <w:rsid w:val="000A6A17"/>
    <w:rsid w:val="000B2226"/>
    <w:rsid w:val="000B5446"/>
    <w:rsid w:val="000C42E4"/>
    <w:rsid w:val="000D0EBA"/>
    <w:rsid w:val="000D72D7"/>
    <w:rsid w:val="000D774A"/>
    <w:rsid w:val="000E0EB7"/>
    <w:rsid w:val="000F62D6"/>
    <w:rsid w:val="00102F86"/>
    <w:rsid w:val="00103B62"/>
    <w:rsid w:val="001136C4"/>
    <w:rsid w:val="0014238F"/>
    <w:rsid w:val="001627A0"/>
    <w:rsid w:val="0016479D"/>
    <w:rsid w:val="00171205"/>
    <w:rsid w:val="00180F6C"/>
    <w:rsid w:val="00184334"/>
    <w:rsid w:val="00184F99"/>
    <w:rsid w:val="001B3C59"/>
    <w:rsid w:val="001C4088"/>
    <w:rsid w:val="001D7411"/>
    <w:rsid w:val="001E7D60"/>
    <w:rsid w:val="00203158"/>
    <w:rsid w:val="00211DF9"/>
    <w:rsid w:val="0021268C"/>
    <w:rsid w:val="00225AED"/>
    <w:rsid w:val="00233704"/>
    <w:rsid w:val="00245F17"/>
    <w:rsid w:val="00264BC2"/>
    <w:rsid w:val="00272CCB"/>
    <w:rsid w:val="002805D9"/>
    <w:rsid w:val="00296D85"/>
    <w:rsid w:val="002C4DC6"/>
    <w:rsid w:val="002D1B59"/>
    <w:rsid w:val="002D7B30"/>
    <w:rsid w:val="002E60AE"/>
    <w:rsid w:val="002F2337"/>
    <w:rsid w:val="00301DCE"/>
    <w:rsid w:val="003034B2"/>
    <w:rsid w:val="003107EA"/>
    <w:rsid w:val="00312FD8"/>
    <w:rsid w:val="003305AF"/>
    <w:rsid w:val="003874EA"/>
    <w:rsid w:val="003974FA"/>
    <w:rsid w:val="003A1529"/>
    <w:rsid w:val="003A6277"/>
    <w:rsid w:val="003B5A6A"/>
    <w:rsid w:val="003C3F91"/>
    <w:rsid w:val="003D57B7"/>
    <w:rsid w:val="003E5399"/>
    <w:rsid w:val="00400933"/>
    <w:rsid w:val="00411E85"/>
    <w:rsid w:val="00424B6A"/>
    <w:rsid w:val="00425139"/>
    <w:rsid w:val="00425E34"/>
    <w:rsid w:val="00431079"/>
    <w:rsid w:val="004415C4"/>
    <w:rsid w:val="00452B24"/>
    <w:rsid w:val="00454C29"/>
    <w:rsid w:val="0045500E"/>
    <w:rsid w:val="00455ADB"/>
    <w:rsid w:val="00471D11"/>
    <w:rsid w:val="004745A1"/>
    <w:rsid w:val="00476FA1"/>
    <w:rsid w:val="00477437"/>
    <w:rsid w:val="004A214A"/>
    <w:rsid w:val="004A7631"/>
    <w:rsid w:val="004B51B1"/>
    <w:rsid w:val="004D0384"/>
    <w:rsid w:val="004D0A69"/>
    <w:rsid w:val="004D284D"/>
    <w:rsid w:val="005005B4"/>
    <w:rsid w:val="00501447"/>
    <w:rsid w:val="00503EB7"/>
    <w:rsid w:val="00507D86"/>
    <w:rsid w:val="00511329"/>
    <w:rsid w:val="00514193"/>
    <w:rsid w:val="0052522F"/>
    <w:rsid w:val="005403AB"/>
    <w:rsid w:val="0054443A"/>
    <w:rsid w:val="00547472"/>
    <w:rsid w:val="00560064"/>
    <w:rsid w:val="005604B7"/>
    <w:rsid w:val="00570898"/>
    <w:rsid w:val="005B140F"/>
    <w:rsid w:val="005C3003"/>
    <w:rsid w:val="005F0B83"/>
    <w:rsid w:val="005F6E37"/>
    <w:rsid w:val="0061413A"/>
    <w:rsid w:val="00622B17"/>
    <w:rsid w:val="006252B5"/>
    <w:rsid w:val="0064267A"/>
    <w:rsid w:val="006437E5"/>
    <w:rsid w:val="00644166"/>
    <w:rsid w:val="00655366"/>
    <w:rsid w:val="00660606"/>
    <w:rsid w:val="00665C5C"/>
    <w:rsid w:val="00667D44"/>
    <w:rsid w:val="00670CAD"/>
    <w:rsid w:val="00674316"/>
    <w:rsid w:val="006746A8"/>
    <w:rsid w:val="0067799D"/>
    <w:rsid w:val="00677BA1"/>
    <w:rsid w:val="0068631E"/>
    <w:rsid w:val="00691D6C"/>
    <w:rsid w:val="00694B44"/>
    <w:rsid w:val="00696D74"/>
    <w:rsid w:val="006C1B15"/>
    <w:rsid w:val="006E306A"/>
    <w:rsid w:val="006E37DB"/>
    <w:rsid w:val="006F5B2F"/>
    <w:rsid w:val="0070420E"/>
    <w:rsid w:val="00707B3A"/>
    <w:rsid w:val="007129C3"/>
    <w:rsid w:val="007319AA"/>
    <w:rsid w:val="007325E8"/>
    <w:rsid w:val="00742B1E"/>
    <w:rsid w:val="007457A8"/>
    <w:rsid w:val="00745D82"/>
    <w:rsid w:val="00780208"/>
    <w:rsid w:val="007D6D0F"/>
    <w:rsid w:val="007D7A12"/>
    <w:rsid w:val="007E7E9A"/>
    <w:rsid w:val="00803187"/>
    <w:rsid w:val="008038B9"/>
    <w:rsid w:val="0080578C"/>
    <w:rsid w:val="008139D5"/>
    <w:rsid w:val="00815D3E"/>
    <w:rsid w:val="0082162A"/>
    <w:rsid w:val="00823C3F"/>
    <w:rsid w:val="00823D92"/>
    <w:rsid w:val="00825273"/>
    <w:rsid w:val="008312F5"/>
    <w:rsid w:val="00833ABC"/>
    <w:rsid w:val="00834B5B"/>
    <w:rsid w:val="0084289B"/>
    <w:rsid w:val="00852285"/>
    <w:rsid w:val="00856E07"/>
    <w:rsid w:val="008571A3"/>
    <w:rsid w:val="008641F5"/>
    <w:rsid w:val="0087006E"/>
    <w:rsid w:val="008867FB"/>
    <w:rsid w:val="008A396F"/>
    <w:rsid w:val="008B0B7E"/>
    <w:rsid w:val="008D78F1"/>
    <w:rsid w:val="008E7C10"/>
    <w:rsid w:val="00907E5D"/>
    <w:rsid w:val="009222AA"/>
    <w:rsid w:val="00925B96"/>
    <w:rsid w:val="009260B5"/>
    <w:rsid w:val="009274E7"/>
    <w:rsid w:val="009325C0"/>
    <w:rsid w:val="00946CF9"/>
    <w:rsid w:val="00947A21"/>
    <w:rsid w:val="0095368B"/>
    <w:rsid w:val="00955466"/>
    <w:rsid w:val="00965988"/>
    <w:rsid w:val="00987656"/>
    <w:rsid w:val="00987748"/>
    <w:rsid w:val="00992FA5"/>
    <w:rsid w:val="009A014D"/>
    <w:rsid w:val="009A2B03"/>
    <w:rsid w:val="009B24F2"/>
    <w:rsid w:val="009B28A4"/>
    <w:rsid w:val="009B410D"/>
    <w:rsid w:val="009B71D9"/>
    <w:rsid w:val="009C1321"/>
    <w:rsid w:val="009D11D1"/>
    <w:rsid w:val="009D49C0"/>
    <w:rsid w:val="009D6797"/>
    <w:rsid w:val="009D6D9A"/>
    <w:rsid w:val="009E033B"/>
    <w:rsid w:val="009E321F"/>
    <w:rsid w:val="009E3664"/>
    <w:rsid w:val="009F3D53"/>
    <w:rsid w:val="009F6A58"/>
    <w:rsid w:val="00A031E9"/>
    <w:rsid w:val="00A0341C"/>
    <w:rsid w:val="00A03514"/>
    <w:rsid w:val="00A0652D"/>
    <w:rsid w:val="00A13B92"/>
    <w:rsid w:val="00A15DDA"/>
    <w:rsid w:val="00A209F1"/>
    <w:rsid w:val="00A27F84"/>
    <w:rsid w:val="00A3122D"/>
    <w:rsid w:val="00A32F63"/>
    <w:rsid w:val="00A33440"/>
    <w:rsid w:val="00A50850"/>
    <w:rsid w:val="00A54849"/>
    <w:rsid w:val="00A56BAD"/>
    <w:rsid w:val="00A67E2B"/>
    <w:rsid w:val="00A80F12"/>
    <w:rsid w:val="00A844CF"/>
    <w:rsid w:val="00AA2E4E"/>
    <w:rsid w:val="00AB08A5"/>
    <w:rsid w:val="00AB74FE"/>
    <w:rsid w:val="00AC246B"/>
    <w:rsid w:val="00AC3735"/>
    <w:rsid w:val="00AC669B"/>
    <w:rsid w:val="00AC6D80"/>
    <w:rsid w:val="00AE08DE"/>
    <w:rsid w:val="00AE5FD4"/>
    <w:rsid w:val="00AF0673"/>
    <w:rsid w:val="00B07D8D"/>
    <w:rsid w:val="00B07FE6"/>
    <w:rsid w:val="00B266B5"/>
    <w:rsid w:val="00B30EF0"/>
    <w:rsid w:val="00B33F68"/>
    <w:rsid w:val="00B42A4C"/>
    <w:rsid w:val="00B4765E"/>
    <w:rsid w:val="00B66784"/>
    <w:rsid w:val="00B77003"/>
    <w:rsid w:val="00B77F3A"/>
    <w:rsid w:val="00B82588"/>
    <w:rsid w:val="00B92FB8"/>
    <w:rsid w:val="00B94BB2"/>
    <w:rsid w:val="00BA12BE"/>
    <w:rsid w:val="00BA5FA2"/>
    <w:rsid w:val="00BB4BF9"/>
    <w:rsid w:val="00BC12E6"/>
    <w:rsid w:val="00BD086D"/>
    <w:rsid w:val="00BD65E4"/>
    <w:rsid w:val="00BE0430"/>
    <w:rsid w:val="00BE48FC"/>
    <w:rsid w:val="00BF66A4"/>
    <w:rsid w:val="00C004E4"/>
    <w:rsid w:val="00C01393"/>
    <w:rsid w:val="00C116E2"/>
    <w:rsid w:val="00C177C7"/>
    <w:rsid w:val="00C2080E"/>
    <w:rsid w:val="00C22ACA"/>
    <w:rsid w:val="00C552D0"/>
    <w:rsid w:val="00C618F3"/>
    <w:rsid w:val="00C626C3"/>
    <w:rsid w:val="00C73D89"/>
    <w:rsid w:val="00C75AFB"/>
    <w:rsid w:val="00C83772"/>
    <w:rsid w:val="00C83EC9"/>
    <w:rsid w:val="00C90ACD"/>
    <w:rsid w:val="00CA1870"/>
    <w:rsid w:val="00CA206E"/>
    <w:rsid w:val="00CC2FC3"/>
    <w:rsid w:val="00CC3419"/>
    <w:rsid w:val="00CE3E74"/>
    <w:rsid w:val="00CE3F75"/>
    <w:rsid w:val="00CF43A8"/>
    <w:rsid w:val="00CF6D7D"/>
    <w:rsid w:val="00D0180D"/>
    <w:rsid w:val="00D03811"/>
    <w:rsid w:val="00D32B7D"/>
    <w:rsid w:val="00D40832"/>
    <w:rsid w:val="00D43AEA"/>
    <w:rsid w:val="00D50D5C"/>
    <w:rsid w:val="00D52A9E"/>
    <w:rsid w:val="00D5336E"/>
    <w:rsid w:val="00D76750"/>
    <w:rsid w:val="00D94FC6"/>
    <w:rsid w:val="00DA3232"/>
    <w:rsid w:val="00DA3FFB"/>
    <w:rsid w:val="00DA6983"/>
    <w:rsid w:val="00DA6A9B"/>
    <w:rsid w:val="00DB067E"/>
    <w:rsid w:val="00DD7B8D"/>
    <w:rsid w:val="00DF20F1"/>
    <w:rsid w:val="00DF619B"/>
    <w:rsid w:val="00E04FF4"/>
    <w:rsid w:val="00E1105B"/>
    <w:rsid w:val="00E3789A"/>
    <w:rsid w:val="00E51EE7"/>
    <w:rsid w:val="00E641D1"/>
    <w:rsid w:val="00E65D33"/>
    <w:rsid w:val="00E773E1"/>
    <w:rsid w:val="00E83379"/>
    <w:rsid w:val="00E83931"/>
    <w:rsid w:val="00E92B92"/>
    <w:rsid w:val="00E932B3"/>
    <w:rsid w:val="00EA04E3"/>
    <w:rsid w:val="00EA5F80"/>
    <w:rsid w:val="00EA671F"/>
    <w:rsid w:val="00EB0734"/>
    <w:rsid w:val="00EB2D1E"/>
    <w:rsid w:val="00EC1BB8"/>
    <w:rsid w:val="00EC3DC9"/>
    <w:rsid w:val="00EC4C24"/>
    <w:rsid w:val="00EC6035"/>
    <w:rsid w:val="00ED45AF"/>
    <w:rsid w:val="00EE7D35"/>
    <w:rsid w:val="00F26328"/>
    <w:rsid w:val="00F27842"/>
    <w:rsid w:val="00F535CE"/>
    <w:rsid w:val="00F54646"/>
    <w:rsid w:val="00F55730"/>
    <w:rsid w:val="00F61493"/>
    <w:rsid w:val="00F62D42"/>
    <w:rsid w:val="00F64DB6"/>
    <w:rsid w:val="00F650B3"/>
    <w:rsid w:val="00F6647E"/>
    <w:rsid w:val="00F72AF2"/>
    <w:rsid w:val="00F752D5"/>
    <w:rsid w:val="00F76C7D"/>
    <w:rsid w:val="00F808ED"/>
    <w:rsid w:val="00F914D1"/>
    <w:rsid w:val="00F9206A"/>
    <w:rsid w:val="00F95276"/>
    <w:rsid w:val="00FA038B"/>
    <w:rsid w:val="00FA234D"/>
    <w:rsid w:val="00FA23C3"/>
    <w:rsid w:val="00FC0134"/>
    <w:rsid w:val="00FC0E4E"/>
    <w:rsid w:val="00FD370A"/>
    <w:rsid w:val="00FE0F5B"/>
    <w:rsid w:val="00FE220F"/>
    <w:rsid w:val="00FE5547"/>
    <w:rsid w:val="00FE7C60"/>
    <w:rsid w:val="00FE7E4D"/>
    <w:rsid w:val="00FF3CCC"/>
    <w:rsid w:val="099624D9"/>
    <w:rsid w:val="0F433D14"/>
    <w:rsid w:val="228622C0"/>
    <w:rsid w:val="415F6C88"/>
    <w:rsid w:val="660902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spacing w:line="700" w:lineRule="exact"/>
      <w:jc w:val="center"/>
    </w:pPr>
    <w:rPr>
      <w:rFonts w:eastAsia="方正大标宋简体"/>
      <w:sz w:val="44"/>
      <w:szCs w:val="24"/>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qFormat/>
    <w:uiPriority w:val="99"/>
    <w:rPr>
      <w:rFonts w:cs="Times New Roman"/>
      <w:color w:val="0000FF"/>
      <w:u w:val="single"/>
    </w:rPr>
  </w:style>
  <w:style w:type="character" w:customStyle="1" w:styleId="9">
    <w:name w:val="正文文本 Char"/>
    <w:basedOn w:val="7"/>
    <w:link w:val="2"/>
    <w:semiHidden/>
    <w:qFormat/>
    <w:locked/>
    <w:uiPriority w:val="99"/>
    <w:rPr>
      <w:rFonts w:eastAsia="仿宋_GB2312" w:cs="Times New Roman"/>
      <w:sz w:val="32"/>
      <w:szCs w:val="32"/>
    </w:rPr>
  </w:style>
  <w:style w:type="character" w:customStyle="1" w:styleId="10">
    <w:name w:val="页眉 Char"/>
    <w:basedOn w:val="7"/>
    <w:link w:val="4"/>
    <w:qFormat/>
    <w:locked/>
    <w:uiPriority w:val="99"/>
    <w:rPr>
      <w:rFonts w:eastAsia="仿宋_GB2312" w:cs="Times New Roman"/>
      <w:kern w:val="2"/>
      <w:sz w:val="18"/>
      <w:szCs w:val="18"/>
    </w:rPr>
  </w:style>
  <w:style w:type="character" w:customStyle="1" w:styleId="11">
    <w:name w:val="页脚 Char"/>
    <w:basedOn w:val="7"/>
    <w:link w:val="3"/>
    <w:qFormat/>
    <w:locked/>
    <w:uiPriority w:val="99"/>
    <w:rPr>
      <w:rFonts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1610</Words>
  <Characters>1659</Characters>
  <Lines>37</Lines>
  <Paragraphs>10</Paragraphs>
  <TotalTime>0</TotalTime>
  <ScaleCrop>false</ScaleCrop>
  <LinksUpToDate>false</LinksUpToDate>
  <CharactersWithSpaces>1686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2016-05-27T06:28:00Z</dcterms:created>
  <dc:creator>微软用户</dc:creator>
  <cp:lastModifiedBy>南窗去水</cp:lastModifiedBy>
  <cp:lastPrinted>2013-01-22T07:01:00Z</cp:lastPrinted>
  <dcterms:modified xsi:type="dcterms:W3CDTF">2025-03-19T01:35:31Z</dcterms:modified>
  <dc:title>关于开展新北区中小学优秀教师培育室领衔人换届评选工作的通知</dc:title>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eyJoZGlkIjoiZTY2NDFmNzZlOTIzODdiNDIxNTRkMDg3YzNiYjExOTkiLCJ1c2VySWQiOiIzMjQ2NTcwODQifQ==</vt:lpwstr>
  </property>
  <property fmtid="{D5CDD505-2E9C-101B-9397-08002B2CF9AE}" pid="3" name="KSOProductBuildVer">
    <vt:lpwstr>2052-12.1.0.20305</vt:lpwstr>
  </property>
  <property fmtid="{D5CDD505-2E9C-101B-9397-08002B2CF9AE}" pid="4" name="ICV">
    <vt:lpwstr>00A3F87668034D2FAB72B4AA8EAACA65_12</vt:lpwstr>
  </property>
</Properties>
</file>