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黑体" w:hAnsi="黑体" w:eastAsia="黑体" w:cs="黑体"/>
          <w:sz w:val="24"/>
          <w:szCs w:val="32"/>
          <w:lang w:val="en-US" w:eastAsia="zh-CN"/>
        </w:rPr>
      </w:pPr>
      <w:r>
        <w:rPr>
          <w:rFonts w:hint="eastAsia" w:ascii="黑体" w:hAnsi="黑体" w:eastAsia="黑体" w:cs="黑体"/>
          <w:sz w:val="24"/>
          <w:szCs w:val="32"/>
          <w:lang w:val="en-US" w:eastAsia="zh-CN"/>
        </w:rPr>
        <w:t>2024-2025学年第二学期课题计划</w:t>
      </w:r>
      <w:r>
        <w:rPr>
          <w:rFonts w:hint="eastAsia" w:ascii="黑体" w:hAnsi="黑体" w:eastAsia="黑体" w:cs="黑体"/>
          <w:sz w:val="24"/>
          <w:szCs w:val="32"/>
          <w:lang w:val="en-US" w:eastAsia="zh-CN"/>
        </w:rPr>
        <w:br w:type="textWrapping"/>
      </w:r>
    </w:p>
    <w:p>
      <w:pPr>
        <w:bidi w:val="0"/>
        <w:rPr>
          <w:rFonts w:hint="eastAsia"/>
        </w:rPr>
      </w:pPr>
      <w:r>
        <w:rPr>
          <w:rFonts w:hint="eastAsia"/>
          <w:b/>
          <w:bCs/>
          <w:lang w:val="en-US" w:eastAsia="zh-CN"/>
        </w:rPr>
        <w:t>一、课题基本情况</w:t>
      </w:r>
    </w:p>
    <w:p>
      <w:pPr>
        <w:keepNext w:val="0"/>
        <w:keepLines w:val="0"/>
        <w:pageBreakBefore w:val="0"/>
        <w:widowControl w:val="0"/>
        <w:kinsoku/>
        <w:wordWrap/>
        <w:overflowPunct/>
        <w:topLinePunct w:val="0"/>
        <w:autoSpaceDE/>
        <w:autoSpaceDN/>
        <w:bidi w:val="0"/>
        <w:adjustRightInd/>
        <w:snapToGrid/>
        <w:spacing w:line="420" w:lineRule="exact"/>
        <w:textAlignment w:val="auto"/>
      </w:pPr>
      <w:r>
        <w:rPr>
          <w:rFonts w:hint="default"/>
        </w:rPr>
        <w:t>1.</w:t>
      </w:r>
      <w:r>
        <w:rPr>
          <w:rFonts w:hint="eastAsia"/>
        </w:rPr>
        <w:t>课题名称：</w:t>
      </w:r>
      <w:r>
        <w:rPr>
          <w:rFonts w:hint="eastAsia"/>
          <w:lang w:eastAsia="zh-CN"/>
        </w:rPr>
        <w:t>《</w:t>
      </w:r>
      <w:r>
        <w:rPr>
          <w:rFonts w:hint="eastAsia"/>
          <w:lang w:val="en-US" w:eastAsia="zh-CN"/>
        </w:rPr>
        <w:t>素养导向下低年段语文非纸笔测评的实践研究</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eastAsiaTheme="minorEastAsia"/>
          <w:lang w:val="en-US" w:eastAsia="zh-CN"/>
        </w:rPr>
      </w:pPr>
      <w:r>
        <w:rPr>
          <w:rFonts w:hint="default"/>
        </w:rPr>
        <w:t>2. </w:t>
      </w:r>
      <w:r>
        <w:rPr>
          <w:rFonts w:hint="eastAsia"/>
        </w:rPr>
        <w:t>课题负责人：</w:t>
      </w:r>
      <w:r>
        <w:rPr>
          <w:rFonts w:hint="eastAsia"/>
          <w:lang w:val="en-US" w:eastAsia="zh-CN"/>
        </w:rPr>
        <w:t>朱虹、殷翁荷</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lang w:val="en-US" w:eastAsia="zh-CN"/>
        </w:rPr>
      </w:pPr>
      <w:r>
        <w:rPr>
          <w:rFonts w:hint="default"/>
        </w:rPr>
        <w:t>3. </w:t>
      </w:r>
      <w:r>
        <w:rPr>
          <w:rFonts w:hint="eastAsia"/>
        </w:rPr>
        <w:t>课题核心组成员：</w:t>
      </w:r>
      <w:r>
        <w:rPr>
          <w:rFonts w:hint="eastAsia"/>
          <w:lang w:val="en-US" w:eastAsia="zh-CN"/>
        </w:rPr>
        <w:t>杨琰、常盛、吴海琴、王欣怡、陈文星、庄之雨、郑丽娟、孔曦、杨柳菁、宋艳</w:t>
      </w:r>
    </w:p>
    <w:p>
      <w:pPr>
        <w:keepNext w:val="0"/>
        <w:keepLines w:val="0"/>
        <w:pageBreakBefore w:val="0"/>
        <w:widowControl w:val="0"/>
        <w:kinsoku/>
        <w:wordWrap/>
        <w:overflowPunct/>
        <w:topLinePunct w:val="0"/>
        <w:autoSpaceDE/>
        <w:autoSpaceDN/>
        <w:bidi w:val="0"/>
        <w:adjustRightInd/>
        <w:snapToGrid/>
        <w:spacing w:line="500" w:lineRule="exact"/>
        <w:textAlignment w:val="auto"/>
        <w:rPr>
          <w:b/>
          <w:bCs/>
        </w:rPr>
      </w:pPr>
      <w:r>
        <w:rPr>
          <w:rFonts w:hint="eastAsia"/>
          <w:b/>
          <w:bCs/>
        </w:rPr>
        <w:t>二、课题目标</w:t>
      </w:r>
    </w:p>
    <w:tbl>
      <w:tblPr>
        <w:tblStyle w:val="3"/>
        <w:tblW w:w="8420" w:type="dxa"/>
        <w:jc w:val="center"/>
        <w:shd w:val="clear" w:color="auto" w:fill="auto"/>
        <w:tblLayout w:type="autofit"/>
        <w:tblCellMar>
          <w:top w:w="0" w:type="dxa"/>
          <w:left w:w="0" w:type="dxa"/>
          <w:bottom w:w="0" w:type="dxa"/>
          <w:right w:w="0" w:type="dxa"/>
        </w:tblCellMar>
      </w:tblPr>
      <w:tblGrid>
        <w:gridCol w:w="8420"/>
      </w:tblGrid>
      <w:tr>
        <w:tblPrEx>
          <w:shd w:val="clear" w:color="auto" w:fill="auto"/>
          <w:tblCellMar>
            <w:top w:w="0" w:type="dxa"/>
            <w:left w:w="0" w:type="dxa"/>
            <w:bottom w:w="0" w:type="dxa"/>
            <w:right w:w="0" w:type="dxa"/>
          </w:tblCellMar>
        </w:tblPrEx>
        <w:trPr>
          <w:trHeight w:val="4878" w:hRule="atLeast"/>
          <w:jc w:val="center"/>
        </w:trPr>
        <w:tc>
          <w:tcPr>
            <w:tcW w:w="842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20" w:lineRule="exact"/>
              <w:ind w:left="210" w:leftChars="100" w:right="210" w:rightChars="100"/>
              <w:textAlignment w:val="auto"/>
              <w:rPr>
                <w:rFonts w:hint="eastAsia"/>
                <w:b/>
                <w:bCs/>
              </w:rPr>
            </w:pPr>
            <w:r>
              <w:rPr>
                <w:rFonts w:hint="eastAsia"/>
                <w:b/>
                <w:bCs/>
              </w:rPr>
              <w:t>课题研究总目标：</w:t>
            </w:r>
          </w:p>
          <w:p>
            <w:pPr>
              <w:keepNext w:val="0"/>
              <w:keepLines w:val="0"/>
              <w:pageBreakBefore w:val="0"/>
              <w:widowControl w:val="0"/>
              <w:kinsoku/>
              <w:wordWrap/>
              <w:overflowPunct/>
              <w:topLinePunct w:val="0"/>
              <w:autoSpaceDE/>
              <w:autoSpaceDN/>
              <w:bidi w:val="0"/>
              <w:adjustRightInd/>
              <w:snapToGrid/>
              <w:spacing w:line="420" w:lineRule="exact"/>
              <w:ind w:left="210" w:leftChars="100" w:right="210" w:rightChars="100"/>
              <w:textAlignment w:val="auto"/>
              <w:rPr>
                <w:rFonts w:hint="eastAsia"/>
                <w:lang w:eastAsia="zh-CN"/>
              </w:rPr>
            </w:pPr>
            <w:r>
              <w:rPr>
                <w:rFonts w:hint="eastAsia"/>
              </w:rPr>
              <w:t>1．通过</w:t>
            </w:r>
            <w:r>
              <w:rPr>
                <w:rFonts w:hint="eastAsia"/>
                <w:lang w:val="en-US" w:eastAsia="zh-CN"/>
              </w:rPr>
              <w:t>梳理素养导向下非纸笔测评的相关文献</w:t>
            </w:r>
            <w:r>
              <w:rPr>
                <w:rFonts w:hint="eastAsia"/>
              </w:rPr>
              <w:t>，理清</w:t>
            </w:r>
            <w:r>
              <w:rPr>
                <w:rFonts w:hint="eastAsia"/>
                <w:lang w:val="en-US" w:eastAsia="zh-CN"/>
              </w:rPr>
              <w:t>素养导向下小学低段语文非纸笔测评的内涵和价值，并通过对低段语文非纸笔测评的现状及部编版教材的分析研究，探寻素养导向下低段语文非纸笔测评的适切性</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210" w:leftChars="100" w:right="210" w:rightChars="100"/>
              <w:textAlignment w:val="auto"/>
              <w:rPr>
                <w:rFonts w:hint="default"/>
                <w:lang w:val="en-US" w:eastAsia="zh-CN"/>
              </w:rPr>
            </w:pPr>
            <w:r>
              <w:rPr>
                <w:rFonts w:hint="eastAsia"/>
              </w:rPr>
              <w:t>2．</w:t>
            </w:r>
            <w:r>
              <w:rPr>
                <w:rFonts w:hint="eastAsia"/>
                <w:lang w:val="en-US" w:eastAsia="zh-CN"/>
              </w:rPr>
              <w:t>基于文献研究及现状调查</w:t>
            </w:r>
            <w:r>
              <w:rPr>
                <w:rFonts w:hint="default"/>
                <w:lang w:val="en-US" w:eastAsia="zh-CN"/>
              </w:rPr>
              <w:t>结合核心素养发展水平和义务教育新课标描述的学段学业质量标准，以及课程内容，梳理出适合第一时段非纸笔测评的表现性指标，按照识字与写字、阅读与鉴赏、表达与交流、梳理与探究等语文实践活动，统整教材资源，细化学段目标，形成学生语文学科非纸笔测评框架。</w:t>
            </w:r>
          </w:p>
          <w:p>
            <w:pPr>
              <w:keepNext w:val="0"/>
              <w:keepLines w:val="0"/>
              <w:pageBreakBefore w:val="0"/>
              <w:widowControl w:val="0"/>
              <w:kinsoku/>
              <w:wordWrap/>
              <w:overflowPunct/>
              <w:topLinePunct w:val="0"/>
              <w:autoSpaceDE/>
              <w:autoSpaceDN/>
              <w:bidi w:val="0"/>
              <w:adjustRightInd/>
              <w:snapToGrid/>
              <w:spacing w:line="420" w:lineRule="exact"/>
              <w:ind w:left="210" w:leftChars="100" w:right="210" w:rightChars="100"/>
              <w:textAlignment w:val="auto"/>
              <w:rPr>
                <w:rFonts w:hint="default"/>
                <w:lang w:val="en-US" w:eastAsia="zh-CN"/>
              </w:rPr>
            </w:pPr>
            <w:r>
              <w:rPr>
                <w:rFonts w:hint="eastAsia"/>
              </w:rPr>
              <w:t>3．通过</w:t>
            </w:r>
            <w:r>
              <w:rPr>
                <w:rFonts w:hint="eastAsia"/>
                <w:lang w:val="en-US" w:eastAsia="zh-CN"/>
              </w:rPr>
              <w:t>行动研究尝试和推进非纸笔测评，总结成效，提出优化建议和展望。</w:t>
            </w:r>
            <w:r>
              <w:rPr>
                <w:rFonts w:hint="default"/>
                <w:lang w:val="en-US" w:eastAsia="zh-CN"/>
              </w:rPr>
              <w:t>为不同类型的表现性任务制定与之相匹配的评分规则，并通过对测评结果的分析，了解学生在识字、朗读、表达与交流等方面的具体情况，诊断学生存在的共性和个性问题，实现学习的改进。</w:t>
            </w:r>
          </w:p>
          <w:p>
            <w:pPr>
              <w:keepNext w:val="0"/>
              <w:keepLines w:val="0"/>
              <w:pageBreakBefore w:val="0"/>
              <w:widowControl w:val="0"/>
              <w:kinsoku/>
              <w:wordWrap/>
              <w:overflowPunct/>
              <w:topLinePunct w:val="0"/>
              <w:autoSpaceDE/>
              <w:autoSpaceDN/>
              <w:bidi w:val="0"/>
              <w:adjustRightInd/>
              <w:snapToGrid/>
              <w:spacing w:line="420" w:lineRule="exact"/>
              <w:ind w:right="210" w:rightChars="100"/>
              <w:textAlignment w:val="auto"/>
              <w:rPr>
                <w:rFonts w:hint="default"/>
                <w:lang w:val="en-US" w:eastAsia="zh-CN"/>
              </w:rPr>
            </w:pPr>
          </w:p>
        </w:tc>
      </w:tr>
      <w:tr>
        <w:tblPrEx>
          <w:shd w:val="clear" w:color="auto" w:fill="auto"/>
          <w:tblCellMar>
            <w:top w:w="0" w:type="dxa"/>
            <w:left w:w="0" w:type="dxa"/>
            <w:bottom w:w="0" w:type="dxa"/>
            <w:right w:w="0" w:type="dxa"/>
          </w:tblCellMar>
        </w:tblPrEx>
        <w:trPr>
          <w:trHeight w:val="1270" w:hRule="atLeast"/>
          <w:jc w:val="center"/>
        </w:trPr>
        <w:tc>
          <w:tcPr>
            <w:tcW w:w="8420" w:type="dxa"/>
            <w:tcBorders>
              <w:top w:val="nil"/>
              <w:left w:val="single" w:color="auto" w:sz="8" w:space="0"/>
              <w:bottom w:val="single" w:color="auto" w:sz="8" w:space="0"/>
              <w:right w:val="single" w:color="auto" w:sz="8"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20" w:lineRule="exact"/>
              <w:ind w:left="210" w:leftChars="100" w:right="210" w:rightChars="100"/>
              <w:textAlignment w:val="auto"/>
              <w:rPr>
                <w:rFonts w:hint="eastAsia"/>
                <w:b/>
                <w:bCs/>
              </w:rPr>
            </w:pPr>
            <w:r>
              <w:rPr>
                <w:rFonts w:hint="eastAsia"/>
                <w:b/>
                <w:bCs/>
              </w:rPr>
              <w:t>本学期阶段研究目标:</w:t>
            </w:r>
          </w:p>
          <w:p>
            <w:pPr>
              <w:keepNext w:val="0"/>
              <w:keepLines w:val="0"/>
              <w:pageBreakBefore w:val="0"/>
              <w:widowControl w:val="0"/>
              <w:kinsoku/>
              <w:wordWrap/>
              <w:overflowPunct/>
              <w:topLinePunct w:val="0"/>
              <w:autoSpaceDE/>
              <w:autoSpaceDN/>
              <w:bidi w:val="0"/>
              <w:adjustRightInd/>
              <w:snapToGrid/>
              <w:spacing w:line="420" w:lineRule="exact"/>
              <w:ind w:left="210" w:leftChars="100" w:right="210" w:rightChars="100"/>
              <w:textAlignment w:val="auto"/>
              <w:rPr>
                <w:rFonts w:hint="default"/>
                <w:lang w:val="en-US"/>
              </w:rPr>
            </w:pPr>
            <w:r>
              <w:rPr>
                <w:rFonts w:hint="eastAsia"/>
              </w:rPr>
              <w:t>1．</w:t>
            </w:r>
            <w:r>
              <w:rPr>
                <w:rFonts w:hint="eastAsia"/>
                <w:lang w:val="en-US" w:eastAsia="zh-CN"/>
              </w:rPr>
              <w:t>持续更新理论学习，调整改进文献研究，组织成员进行论文的撰写、发表。</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210" w:leftChars="100" w:right="210" w:rightChars="100"/>
              <w:textAlignment w:val="auto"/>
              <w:rPr>
                <w:rFonts w:hint="default"/>
                <w:lang w:val="en-US" w:eastAsia="zh-CN"/>
              </w:rPr>
            </w:pPr>
            <w:r>
              <w:rPr>
                <w:rFonts w:hint="eastAsia"/>
                <w:lang w:val="en-US" w:eastAsia="zh-CN"/>
              </w:rPr>
              <w:t>在访谈、问卷的基础上完善调查报告。在既有的目标体系及测评形式基础上，积极开展测评实施及案例总结、优化。</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210" w:leftChars="100" w:right="210" w:rightChars="100" w:firstLine="0" w:firstLineChars="0"/>
              <w:textAlignment w:val="auto"/>
              <w:rPr>
                <w:rFonts w:hint="default"/>
                <w:lang w:val="en-US" w:eastAsia="zh-CN"/>
              </w:rPr>
            </w:pPr>
            <w:r>
              <w:rPr>
                <w:rFonts w:hint="eastAsia"/>
                <w:lang w:val="en-US" w:eastAsia="zh-CN"/>
              </w:rPr>
              <w:t>依托统编版教材，对素养导向下低年段语文非纸笔测评的设计与实施形成系统性的分类及对标，展开评价研究，完成并优化课题中期报告。</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rPr>
      </w:pPr>
      <w:r>
        <w:rPr>
          <w:rFonts w:hint="eastAsia"/>
          <w:b/>
          <w:bCs/>
          <w:lang w:val="en-US" w:eastAsia="zh-CN"/>
        </w:rPr>
        <w:t>三、本学期课题组研究任务分工</w:t>
      </w:r>
    </w:p>
    <w:tbl>
      <w:tblPr>
        <w:tblStyle w:val="3"/>
        <w:tblW w:w="84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0" w:type="dxa"/>
          <w:bottom w:w="0" w:type="dxa"/>
          <w:right w:w="0" w:type="dxa"/>
        </w:tblCellMar>
      </w:tblPr>
      <w:tblGrid>
        <w:gridCol w:w="1357"/>
        <w:gridCol w:w="1232"/>
        <w:gridCol w:w="881"/>
        <w:gridCol w:w="1819"/>
        <w:gridCol w:w="2019"/>
        <w:gridCol w:w="11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351" w:hRule="atLeast"/>
          <w:jc w:val="center"/>
        </w:trPr>
        <w:tc>
          <w:tcPr>
            <w:tcW w:w="135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b/>
                <w:bCs/>
              </w:rPr>
            </w:pPr>
            <w:r>
              <w:rPr>
                <w:rFonts w:hint="eastAsia"/>
                <w:b/>
                <w:bCs/>
              </w:rPr>
              <w:t>研究主题</w:t>
            </w:r>
          </w:p>
        </w:tc>
        <w:tc>
          <w:tcPr>
            <w:tcW w:w="123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b/>
                <w:bCs/>
              </w:rPr>
            </w:pPr>
            <w:r>
              <w:rPr>
                <w:rFonts w:hint="eastAsia"/>
                <w:b/>
                <w:bCs/>
              </w:rPr>
              <w:t>时间</w:t>
            </w:r>
          </w:p>
        </w:tc>
        <w:tc>
          <w:tcPr>
            <w:tcW w:w="88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b/>
                <w:bCs/>
              </w:rPr>
            </w:pPr>
            <w:r>
              <w:rPr>
                <w:rFonts w:hint="eastAsia"/>
                <w:b/>
                <w:bCs/>
              </w:rPr>
              <w:t>负责人</w:t>
            </w:r>
          </w:p>
        </w:tc>
        <w:tc>
          <w:tcPr>
            <w:tcW w:w="181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b/>
                <w:bCs/>
              </w:rPr>
            </w:pPr>
            <w:r>
              <w:rPr>
                <w:rFonts w:hint="eastAsia"/>
                <w:b/>
                <w:bCs/>
              </w:rPr>
              <w:t>研究目标</w:t>
            </w:r>
          </w:p>
        </w:tc>
        <w:tc>
          <w:tcPr>
            <w:tcW w:w="201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b/>
                <w:bCs/>
              </w:rPr>
            </w:pPr>
            <w:r>
              <w:rPr>
                <w:rFonts w:hint="eastAsia"/>
                <w:b/>
                <w:bCs/>
              </w:rPr>
              <w:t>研究内容</w:t>
            </w:r>
          </w:p>
        </w:tc>
        <w:tc>
          <w:tcPr>
            <w:tcW w:w="115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b/>
                <w:bCs/>
              </w:rPr>
            </w:pPr>
            <w:r>
              <w:rPr>
                <w:rFonts w:hint="eastAsia"/>
                <w:b/>
                <w:bCs/>
              </w:rPr>
              <w:t>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b/>
                <w:bCs/>
              </w:rPr>
            </w:pPr>
            <w:r>
              <w:rPr>
                <w:rFonts w:hint="eastAsia"/>
                <w:b/>
                <w:bCs/>
              </w:rPr>
              <w:t>途径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1055" w:hRule="atLeast"/>
          <w:jc w:val="center"/>
        </w:trPr>
        <w:tc>
          <w:tcPr>
            <w:tcW w:w="135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default" w:eastAsiaTheme="minorEastAsia"/>
                <w:lang w:val="en-US" w:eastAsia="zh-CN"/>
              </w:rPr>
            </w:pPr>
            <w:r>
              <w:rPr>
                <w:rFonts w:hint="eastAsia"/>
                <w:lang w:val="en-US" w:eastAsia="zh-CN"/>
              </w:rPr>
              <w:t>素养导向下低年段语文非纸笔测评的实施与评价研究（1）</w:t>
            </w:r>
          </w:p>
        </w:tc>
        <w:tc>
          <w:tcPr>
            <w:tcW w:w="123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default" w:eastAsiaTheme="minorEastAsia"/>
                <w:lang w:val="en-US" w:eastAsia="zh-CN"/>
              </w:rPr>
            </w:pPr>
            <w:r>
              <w:rPr>
                <w:rFonts w:hint="default" w:asciiTheme="minorAscii" w:hAnsiTheme="minorAscii" w:eastAsiaTheme="minorEastAsia"/>
                <w:spacing w:val="-20"/>
                <w:sz w:val="21"/>
              </w:rPr>
              <w:t>202</w:t>
            </w:r>
            <w:r>
              <w:rPr>
                <w:rFonts w:hint="default" w:asciiTheme="minorAscii" w:hAnsiTheme="minorAscii" w:eastAsiaTheme="minorEastAsia"/>
                <w:spacing w:val="-20"/>
                <w:sz w:val="21"/>
                <w:lang w:val="en-US" w:eastAsia="zh-CN"/>
              </w:rPr>
              <w:t>5年2-3月</w:t>
            </w:r>
          </w:p>
        </w:tc>
        <w:tc>
          <w:tcPr>
            <w:tcW w:w="88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lang w:val="en-US" w:eastAsia="zh-CN"/>
              </w:rPr>
            </w:pPr>
            <w:r>
              <w:rPr>
                <w:rFonts w:hint="eastAsia"/>
                <w:lang w:val="en-US" w:eastAsia="zh-CN"/>
              </w:rPr>
              <w:t>朱虹</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lang w:val="en-US" w:eastAsia="zh-CN"/>
              </w:rPr>
            </w:pPr>
            <w:r>
              <w:rPr>
                <w:rFonts w:hint="eastAsia"/>
                <w:lang w:val="en-US" w:eastAsia="zh-CN"/>
              </w:rPr>
              <w:t>殷翁荷</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lang w:val="en-US" w:eastAsia="zh-CN"/>
              </w:rPr>
            </w:pPr>
          </w:p>
        </w:tc>
        <w:tc>
          <w:tcPr>
            <w:tcW w:w="181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default" w:eastAsiaTheme="minorEastAsia"/>
                <w:lang w:val="en-US" w:eastAsia="zh-CN"/>
              </w:rPr>
            </w:pPr>
            <w:r>
              <w:rPr>
                <w:rFonts w:hint="eastAsia"/>
                <w:lang w:val="en-US" w:eastAsia="zh-CN"/>
              </w:rPr>
              <w:t>梳理出素养导向下非纸笔测评的实施环节及方式。</w:t>
            </w:r>
          </w:p>
        </w:tc>
        <w:tc>
          <w:tcPr>
            <w:tcW w:w="201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right="105" w:rightChars="50"/>
              <w:textAlignment w:val="auto"/>
              <w:rPr>
                <w:rFonts w:hint="default" w:eastAsiaTheme="minorEastAsia"/>
                <w:lang w:val="en-US" w:eastAsia="zh-CN"/>
              </w:rPr>
            </w:pPr>
            <w:r>
              <w:rPr>
                <w:rFonts w:hint="eastAsia"/>
                <w:lang w:val="en-US" w:eastAsia="zh-CN"/>
              </w:rPr>
              <w:t>依托部编教材，积极实施日常性及阶段性低年级语文非纸笔测评，撰写并完善中期报告。</w:t>
            </w:r>
            <w:bookmarkStart w:id="1" w:name="_GoBack"/>
            <w:bookmarkEnd w:id="1"/>
          </w:p>
        </w:tc>
        <w:tc>
          <w:tcPr>
            <w:tcW w:w="115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eastAsia"/>
                <w:lang w:val="en-US" w:eastAsia="zh-CN"/>
              </w:rPr>
            </w:pPr>
            <w:bookmarkStart w:id="0" w:name="OLE_LINK1"/>
            <w:r>
              <w:rPr>
                <w:rFonts w:hint="eastAsia"/>
                <w:lang w:val="en-US" w:eastAsia="zh-CN"/>
              </w:rPr>
              <w:t>观察法</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default" w:eastAsiaTheme="minorEastAsia"/>
                <w:lang w:val="en-US" w:eastAsia="zh-CN"/>
              </w:rPr>
            </w:pPr>
            <w:r>
              <w:rPr>
                <w:rFonts w:hint="eastAsia"/>
                <w:lang w:val="en-US" w:eastAsia="zh-CN"/>
              </w:rPr>
              <w:t>行动研究</w:t>
            </w:r>
            <w:bookmarkEnd w:id="0"/>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2800" w:hRule="atLeast"/>
          <w:jc w:val="center"/>
        </w:trPr>
        <w:tc>
          <w:tcPr>
            <w:tcW w:w="135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default" w:eastAsiaTheme="minorEastAsia"/>
                <w:lang w:val="en-US" w:eastAsia="zh-CN"/>
              </w:rPr>
            </w:pPr>
            <w:r>
              <w:rPr>
                <w:rFonts w:hint="eastAsia"/>
                <w:lang w:val="en-US" w:eastAsia="zh-CN"/>
              </w:rPr>
              <w:t>素养导向下低年段语文非纸笔测评的实施与评价研究（2）</w:t>
            </w:r>
          </w:p>
        </w:tc>
        <w:tc>
          <w:tcPr>
            <w:tcW w:w="123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default" w:asciiTheme="minorAscii" w:hAnsiTheme="minorAscii" w:eastAsiaTheme="minorEastAsia"/>
                <w:spacing w:val="-20"/>
                <w:sz w:val="21"/>
              </w:rPr>
            </w:pPr>
            <w:r>
              <w:rPr>
                <w:rFonts w:hint="default" w:asciiTheme="minorAscii" w:hAnsiTheme="minorAscii" w:eastAsiaTheme="minorEastAsia"/>
                <w:spacing w:val="-20"/>
                <w:sz w:val="21"/>
              </w:rPr>
              <w:t>202</w:t>
            </w:r>
            <w:r>
              <w:rPr>
                <w:rFonts w:hint="default" w:asciiTheme="minorAscii" w:hAnsiTheme="minorAscii" w:eastAsiaTheme="minorEastAsia"/>
                <w:spacing w:val="-20"/>
                <w:sz w:val="21"/>
                <w:lang w:val="en-US" w:eastAsia="zh-CN"/>
              </w:rPr>
              <w:t>5</w:t>
            </w:r>
            <w:r>
              <w:rPr>
                <w:rFonts w:hint="default" w:asciiTheme="minorAscii" w:hAnsiTheme="minorAscii" w:eastAsiaTheme="minorEastAsia"/>
                <w:spacing w:val="-20"/>
                <w:sz w:val="21"/>
              </w:rPr>
              <w:t>年</w:t>
            </w:r>
            <w:r>
              <w:rPr>
                <w:rFonts w:hint="default" w:asciiTheme="minorAscii" w:hAnsiTheme="minorAscii" w:eastAsiaTheme="minorEastAsia"/>
                <w:spacing w:val="-20"/>
                <w:sz w:val="21"/>
                <w:lang w:val="en-US" w:eastAsia="zh-CN"/>
              </w:rPr>
              <w:t>4</w:t>
            </w:r>
            <w:r>
              <w:rPr>
                <w:rFonts w:hint="default" w:asciiTheme="minorAscii" w:hAnsiTheme="minorAscii" w:eastAsiaTheme="minorEastAsia"/>
                <w:spacing w:val="-20"/>
                <w:sz w:val="21"/>
              </w:rPr>
              <w:t>月</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default" w:asciiTheme="minorAscii" w:hAnsiTheme="minorAscii" w:eastAsiaTheme="minorEastAsia"/>
                <w:spacing w:val="-20"/>
                <w:sz w:val="21"/>
              </w:rPr>
            </w:pPr>
          </w:p>
        </w:tc>
        <w:tc>
          <w:tcPr>
            <w:tcW w:w="88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lang w:val="en-US" w:eastAsia="zh-CN"/>
              </w:rPr>
            </w:pPr>
            <w:r>
              <w:rPr>
                <w:rFonts w:hint="eastAsia"/>
                <w:lang w:val="en-US" w:eastAsia="zh-CN"/>
              </w:rPr>
              <w:t>朱虹</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lang w:val="en-US" w:eastAsia="zh-CN"/>
              </w:rPr>
            </w:pPr>
            <w:r>
              <w:rPr>
                <w:rFonts w:hint="eastAsia"/>
                <w:lang w:val="en-US" w:eastAsia="zh-CN"/>
              </w:rPr>
              <w:t>吴海琴</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lang w:val="en-US" w:eastAsia="zh-CN"/>
              </w:rPr>
            </w:pPr>
            <w:r>
              <w:rPr>
                <w:rFonts w:hint="eastAsia"/>
                <w:lang w:val="en-US" w:eastAsia="zh-CN"/>
              </w:rPr>
              <w:t>庄之雨</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lang w:val="en-US" w:eastAsia="zh-CN"/>
              </w:rPr>
            </w:pPr>
            <w:r>
              <w:rPr>
                <w:rFonts w:hint="eastAsia"/>
                <w:lang w:val="en-US" w:eastAsia="zh-CN"/>
              </w:rPr>
              <w:t>常盛</w:t>
            </w:r>
          </w:p>
        </w:tc>
        <w:tc>
          <w:tcPr>
            <w:tcW w:w="181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default" w:eastAsiaTheme="minorEastAsia"/>
                <w:lang w:val="en-US" w:eastAsia="zh-CN"/>
              </w:rPr>
            </w:pPr>
            <w:r>
              <w:rPr>
                <w:rFonts w:hint="eastAsia"/>
                <w:lang w:val="en-US" w:eastAsia="zh-CN"/>
              </w:rPr>
              <w:t>形成素养导向下低年段语文非纸笔测评实施与评价资源包。</w:t>
            </w:r>
          </w:p>
        </w:tc>
        <w:tc>
          <w:tcPr>
            <w:tcW w:w="201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left"/>
              <w:textAlignment w:val="auto"/>
              <w:rPr>
                <w:rFonts w:hint="default"/>
                <w:lang w:val="en-US"/>
              </w:rPr>
            </w:pPr>
            <w:r>
              <w:rPr>
                <w:rFonts w:hint="eastAsia"/>
                <w:lang w:val="en-US" w:eastAsia="zh-CN"/>
              </w:rPr>
              <w:t>基于现有的目标、形式研究，及对部编版教材的分析研究，梳理、开发出对标语文学科四大核心素养的课例，并形成相应的评价量表。</w:t>
            </w:r>
          </w:p>
        </w:tc>
        <w:tc>
          <w:tcPr>
            <w:tcW w:w="115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eastAsia"/>
                <w:lang w:val="en-US" w:eastAsia="zh-CN"/>
              </w:rPr>
            </w:pPr>
            <w:r>
              <w:rPr>
                <w:rFonts w:hint="eastAsia"/>
                <w:lang w:val="en-US" w:eastAsia="zh-CN"/>
              </w:rPr>
              <w:t>行动研究</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default"/>
                <w:lang w:val="en-US" w:eastAsia="zh-CN"/>
              </w:rPr>
            </w:pPr>
            <w:r>
              <w:rPr>
                <w:rFonts w:hint="eastAsia"/>
                <w:lang w:val="en-US" w:eastAsia="zh-CN"/>
              </w:rPr>
              <w:t>收集整理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3" w:hRule="atLeast"/>
          <w:jc w:val="center"/>
        </w:trPr>
        <w:tc>
          <w:tcPr>
            <w:tcW w:w="135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default"/>
                <w:lang w:val="en-US" w:eastAsia="zh-CN"/>
              </w:rPr>
            </w:pPr>
            <w:r>
              <w:rPr>
                <w:rFonts w:hint="eastAsia"/>
                <w:lang w:val="en-US" w:eastAsia="zh-CN"/>
              </w:rPr>
              <w:t>素养导向下低年段语文非纸笔测评的案例研究</w:t>
            </w:r>
          </w:p>
        </w:tc>
        <w:tc>
          <w:tcPr>
            <w:tcW w:w="123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default" w:asciiTheme="minorAscii" w:hAnsiTheme="minorAscii" w:eastAsiaTheme="minorEastAsia"/>
                <w:spacing w:val="-20"/>
                <w:sz w:val="21"/>
              </w:rPr>
            </w:pPr>
            <w:r>
              <w:rPr>
                <w:rFonts w:hint="default" w:asciiTheme="minorAscii" w:hAnsiTheme="minorAscii" w:eastAsiaTheme="minorEastAsia"/>
                <w:spacing w:val="-20"/>
                <w:sz w:val="21"/>
              </w:rPr>
              <w:t>202</w:t>
            </w:r>
            <w:r>
              <w:rPr>
                <w:rFonts w:hint="default" w:asciiTheme="minorAscii" w:hAnsiTheme="minorAscii" w:eastAsiaTheme="minorEastAsia"/>
                <w:spacing w:val="-20"/>
                <w:sz w:val="21"/>
                <w:lang w:val="en-US" w:eastAsia="zh-CN"/>
              </w:rPr>
              <w:t>5</w:t>
            </w:r>
            <w:r>
              <w:rPr>
                <w:rFonts w:hint="default" w:asciiTheme="minorAscii" w:hAnsiTheme="minorAscii" w:eastAsiaTheme="minorEastAsia"/>
                <w:spacing w:val="-20"/>
                <w:sz w:val="21"/>
              </w:rPr>
              <w:t>年</w:t>
            </w:r>
            <w:r>
              <w:rPr>
                <w:rFonts w:hint="default" w:asciiTheme="minorAscii" w:hAnsiTheme="minorAscii" w:eastAsiaTheme="minorEastAsia"/>
                <w:spacing w:val="-20"/>
                <w:sz w:val="21"/>
                <w:lang w:val="en-US" w:eastAsia="zh-CN"/>
              </w:rPr>
              <w:t>5</w:t>
            </w:r>
            <w:r>
              <w:rPr>
                <w:rFonts w:hint="default" w:asciiTheme="minorAscii" w:hAnsiTheme="minorAscii" w:eastAsiaTheme="minorEastAsia"/>
                <w:spacing w:val="-20"/>
                <w:sz w:val="21"/>
              </w:rPr>
              <w:t>月</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default" w:asciiTheme="minorAscii" w:hAnsiTheme="minorAscii" w:eastAsiaTheme="minorEastAsia"/>
                <w:spacing w:val="-20"/>
                <w:sz w:val="21"/>
              </w:rPr>
            </w:pPr>
          </w:p>
        </w:tc>
        <w:tc>
          <w:tcPr>
            <w:tcW w:w="88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lang w:val="en-US" w:eastAsia="zh-CN"/>
              </w:rPr>
            </w:pPr>
            <w:r>
              <w:rPr>
                <w:rFonts w:hint="eastAsia"/>
                <w:lang w:val="en-US" w:eastAsia="zh-CN"/>
              </w:rPr>
              <w:t>殷翁荷</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lang w:val="en-US" w:eastAsia="zh-CN"/>
              </w:rPr>
            </w:pPr>
            <w:r>
              <w:rPr>
                <w:rFonts w:hint="eastAsia"/>
                <w:lang w:val="en-US" w:eastAsia="zh-CN"/>
              </w:rPr>
              <w:t>杨柳菁</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lang w:val="en-US" w:eastAsia="zh-CN"/>
              </w:rPr>
            </w:pPr>
            <w:r>
              <w:rPr>
                <w:rFonts w:hint="eastAsia"/>
                <w:lang w:val="en-US" w:eastAsia="zh-CN"/>
              </w:rPr>
              <w:t>孔曦</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lang w:val="en-US" w:eastAsia="zh-CN"/>
              </w:rPr>
            </w:pPr>
            <w:r>
              <w:rPr>
                <w:rFonts w:hint="eastAsia"/>
                <w:lang w:val="en-US" w:eastAsia="zh-CN"/>
              </w:rPr>
              <w:t>宋艳</w:t>
            </w:r>
          </w:p>
        </w:tc>
        <w:tc>
          <w:tcPr>
            <w:tcW w:w="181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default" w:eastAsiaTheme="minorEastAsia"/>
                <w:lang w:val="en-US" w:eastAsia="zh-CN"/>
              </w:rPr>
            </w:pPr>
            <w:r>
              <w:rPr>
                <w:rFonts w:hint="eastAsia"/>
                <w:lang w:val="en-US" w:eastAsia="zh-CN"/>
              </w:rPr>
              <w:t>持续关注低年段语文非纸笔测评的研究现状及前沿实践，进一步指导课题组研究。</w:t>
            </w:r>
          </w:p>
        </w:tc>
        <w:tc>
          <w:tcPr>
            <w:tcW w:w="201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default"/>
                <w:lang w:val="en-US" w:eastAsia="zh-CN"/>
              </w:rPr>
            </w:pPr>
            <w:r>
              <w:rPr>
                <w:rFonts w:hint="eastAsia"/>
                <w:lang w:val="en-US" w:eastAsia="zh-CN"/>
              </w:rPr>
              <w:t>开展新一轮文献阅读及案例搜集工作，及时更新理念、拓宽思路，优化实施与评价环节。</w:t>
            </w:r>
          </w:p>
        </w:tc>
        <w:tc>
          <w:tcPr>
            <w:tcW w:w="115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default"/>
                <w:lang w:val="en-US" w:eastAsia="zh-CN"/>
              </w:rPr>
            </w:pPr>
            <w:r>
              <w:rPr>
                <w:rFonts w:hint="eastAsia"/>
                <w:lang w:val="en-US" w:eastAsia="zh-CN"/>
              </w:rPr>
              <w:t>文献研究</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default" w:eastAsiaTheme="minorEastAsia"/>
                <w:lang w:val="en-US" w:eastAsia="zh-CN"/>
              </w:rPr>
            </w:pPr>
            <w:r>
              <w:rPr>
                <w:rFonts w:hint="eastAsia"/>
                <w:lang w:val="en-US" w:eastAsia="zh-CN"/>
              </w:rPr>
              <w:t>案例研究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0" w:type="dxa"/>
            <w:bottom w:w="0" w:type="dxa"/>
            <w:right w:w="0" w:type="dxa"/>
          </w:tblCellMar>
        </w:tblPrEx>
        <w:trPr>
          <w:trHeight w:val="703" w:hRule="atLeast"/>
          <w:jc w:val="center"/>
        </w:trPr>
        <w:tc>
          <w:tcPr>
            <w:tcW w:w="1357"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default"/>
                <w:lang w:val="en-US" w:eastAsia="zh-CN"/>
              </w:rPr>
            </w:pPr>
            <w:r>
              <w:rPr>
                <w:rFonts w:hint="eastAsia"/>
                <w:lang w:val="en-US" w:eastAsia="zh-CN"/>
              </w:rPr>
              <w:t>阶段性资源的整理</w:t>
            </w:r>
          </w:p>
        </w:tc>
        <w:tc>
          <w:tcPr>
            <w:tcW w:w="123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default" w:asciiTheme="minorAscii" w:hAnsiTheme="minorAscii" w:eastAsiaTheme="minorEastAsia"/>
                <w:spacing w:val="-20"/>
                <w:sz w:val="21"/>
              </w:rPr>
            </w:pPr>
            <w:r>
              <w:rPr>
                <w:rFonts w:hint="default" w:asciiTheme="minorAscii" w:hAnsiTheme="minorAscii" w:eastAsiaTheme="minorEastAsia"/>
                <w:spacing w:val="-20"/>
                <w:sz w:val="21"/>
              </w:rPr>
              <w:t>202</w:t>
            </w:r>
            <w:r>
              <w:rPr>
                <w:rFonts w:hint="default" w:asciiTheme="minorAscii" w:hAnsiTheme="minorAscii" w:eastAsiaTheme="minorEastAsia"/>
                <w:spacing w:val="-20"/>
                <w:sz w:val="21"/>
                <w:lang w:val="en-US" w:eastAsia="zh-CN"/>
              </w:rPr>
              <w:t>5</w:t>
            </w:r>
            <w:r>
              <w:rPr>
                <w:rFonts w:hint="default" w:asciiTheme="minorAscii" w:hAnsiTheme="minorAscii" w:eastAsiaTheme="minorEastAsia"/>
                <w:spacing w:val="-20"/>
                <w:sz w:val="21"/>
              </w:rPr>
              <w:t>年</w:t>
            </w:r>
            <w:r>
              <w:rPr>
                <w:rFonts w:hint="default" w:asciiTheme="minorAscii" w:hAnsiTheme="minorAscii" w:eastAsiaTheme="minorEastAsia"/>
                <w:spacing w:val="-20"/>
                <w:sz w:val="21"/>
                <w:lang w:val="en-US" w:eastAsia="zh-CN"/>
              </w:rPr>
              <w:t>6</w:t>
            </w:r>
            <w:r>
              <w:rPr>
                <w:rFonts w:hint="default" w:asciiTheme="minorAscii" w:hAnsiTheme="minorAscii" w:eastAsiaTheme="minorEastAsia"/>
                <w:spacing w:val="-20"/>
                <w:sz w:val="21"/>
              </w:rPr>
              <w:t>月</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default" w:asciiTheme="minorAscii" w:hAnsiTheme="minorAscii" w:eastAsiaTheme="minorEastAsia"/>
                <w:spacing w:val="-20"/>
                <w:sz w:val="21"/>
              </w:rPr>
            </w:pPr>
          </w:p>
        </w:tc>
        <w:tc>
          <w:tcPr>
            <w:tcW w:w="88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lang w:val="en-US" w:eastAsia="zh-CN"/>
              </w:rPr>
            </w:pPr>
            <w:r>
              <w:rPr>
                <w:rFonts w:hint="eastAsia"/>
                <w:lang w:val="en-US" w:eastAsia="zh-CN"/>
              </w:rPr>
              <w:t>殷翁荷</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lang w:val="en-US" w:eastAsia="zh-CN"/>
              </w:rPr>
            </w:pPr>
            <w:r>
              <w:rPr>
                <w:rFonts w:hint="eastAsia"/>
                <w:lang w:val="en-US" w:eastAsia="zh-CN"/>
              </w:rPr>
              <w:t>朱虹</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lang w:val="en-US" w:eastAsia="zh-CN"/>
              </w:rPr>
            </w:pPr>
            <w:r>
              <w:rPr>
                <w:rFonts w:hint="eastAsia"/>
                <w:lang w:val="en-US" w:eastAsia="zh-CN"/>
              </w:rPr>
              <w:t>杨琰</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lang w:val="en-US" w:eastAsia="zh-CN"/>
              </w:rPr>
            </w:pPr>
            <w:r>
              <w:rPr>
                <w:rFonts w:hint="eastAsia"/>
                <w:lang w:val="en-US" w:eastAsia="zh-CN"/>
              </w:rPr>
              <w:t>杨柳菁</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lang w:val="en-US" w:eastAsia="zh-CN"/>
              </w:rPr>
            </w:pPr>
          </w:p>
        </w:tc>
        <w:tc>
          <w:tcPr>
            <w:tcW w:w="181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default" w:eastAsiaTheme="minorEastAsia"/>
                <w:lang w:val="en-US" w:eastAsia="zh-CN"/>
              </w:rPr>
            </w:pPr>
            <w:r>
              <w:rPr>
                <w:rFonts w:hint="eastAsia"/>
                <w:lang w:val="en-US" w:eastAsia="zh-CN"/>
              </w:rPr>
              <w:t>完善素养导向下低年段语文非纸笔测评的评价研究，明确下一阶段研究重难点。</w:t>
            </w:r>
          </w:p>
        </w:tc>
        <w:tc>
          <w:tcPr>
            <w:tcW w:w="201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default"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对素养导向下低年段语文非纸笔测评的相关研究资料及实施成效进行整理分析，提出优化建议及下一阶段的研究展望。</w:t>
            </w:r>
          </w:p>
        </w:tc>
        <w:tc>
          <w:tcPr>
            <w:tcW w:w="115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rFonts w:hint="default" w:eastAsiaTheme="minorEastAsia"/>
                <w:lang w:val="en-US" w:eastAsia="zh-CN"/>
              </w:rPr>
            </w:pPr>
            <w:r>
              <w:rPr>
                <w:rFonts w:hint="eastAsia"/>
                <w:lang w:val="en-US" w:eastAsia="zh-CN"/>
              </w:rPr>
              <w:t>收集整理</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b/>
          <w:bCs/>
          <w:lang w:val="en-US" w:eastAsia="zh-CN"/>
        </w:rPr>
      </w:pPr>
      <w:r>
        <w:rPr>
          <w:rFonts w:hint="eastAsia"/>
          <w:b/>
          <w:bCs/>
          <w:lang w:val="en-US" w:eastAsia="zh-CN"/>
        </w:rPr>
        <w:t>四、课题组论文撰写计划</w:t>
      </w:r>
    </w:p>
    <w:tbl>
      <w:tblPr>
        <w:tblStyle w:val="3"/>
        <w:tblW w:w="854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338"/>
        <w:gridCol w:w="5545"/>
        <w:gridCol w:w="166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4" w:hRule="atLeast"/>
          <w:jc w:val="center"/>
        </w:trPr>
        <w:tc>
          <w:tcPr>
            <w:tcW w:w="1338"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210" w:leftChars="100" w:right="210" w:rightChars="100"/>
              <w:jc w:val="center"/>
              <w:textAlignment w:val="auto"/>
              <w:rPr>
                <w:rFonts w:hint="eastAsia"/>
                <w:b/>
                <w:bCs/>
              </w:rPr>
            </w:pPr>
            <w:r>
              <w:rPr>
                <w:rFonts w:hint="eastAsia"/>
                <w:b/>
                <w:bCs/>
              </w:rPr>
              <w:t>姓  名</w:t>
            </w:r>
          </w:p>
        </w:tc>
        <w:tc>
          <w:tcPr>
            <w:tcW w:w="554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210" w:leftChars="100" w:right="210" w:rightChars="100"/>
              <w:jc w:val="center"/>
              <w:textAlignment w:val="auto"/>
              <w:rPr>
                <w:rFonts w:hint="eastAsia"/>
                <w:b/>
                <w:bCs/>
              </w:rPr>
            </w:pPr>
            <w:r>
              <w:rPr>
                <w:rFonts w:hint="eastAsia"/>
                <w:b/>
                <w:bCs/>
                <w:lang w:val="en-US" w:eastAsia="zh-CN"/>
              </w:rPr>
              <w:t xml:space="preserve">拟 </w:t>
            </w:r>
            <w:r>
              <w:rPr>
                <w:rFonts w:hint="eastAsia"/>
                <w:b/>
                <w:bCs/>
              </w:rPr>
              <w:t>论</w:t>
            </w:r>
            <w:r>
              <w:rPr>
                <w:rFonts w:hint="eastAsia"/>
                <w:b/>
                <w:bCs/>
                <w:lang w:val="en-US" w:eastAsia="zh-CN"/>
              </w:rPr>
              <w:t xml:space="preserve"> </w:t>
            </w:r>
            <w:r>
              <w:rPr>
                <w:rFonts w:hint="eastAsia"/>
                <w:b/>
                <w:bCs/>
              </w:rPr>
              <w:t>文</w:t>
            </w:r>
            <w:r>
              <w:rPr>
                <w:rFonts w:hint="eastAsia"/>
                <w:b/>
                <w:bCs/>
                <w:lang w:val="en-US" w:eastAsia="zh-CN"/>
              </w:rPr>
              <w:t xml:space="preserve"> </w:t>
            </w:r>
            <w:r>
              <w:rPr>
                <w:rFonts w:hint="eastAsia"/>
                <w:b/>
                <w:bCs/>
              </w:rPr>
              <w:t>题</w:t>
            </w:r>
            <w:r>
              <w:rPr>
                <w:rFonts w:hint="eastAsia"/>
                <w:b/>
                <w:bCs/>
                <w:lang w:val="en-US" w:eastAsia="zh-CN"/>
              </w:rPr>
              <w:t xml:space="preserve"> </w:t>
            </w:r>
            <w:r>
              <w:rPr>
                <w:rFonts w:hint="eastAsia"/>
                <w:b/>
                <w:bCs/>
              </w:rPr>
              <w:t>目</w:t>
            </w:r>
          </w:p>
        </w:tc>
        <w:tc>
          <w:tcPr>
            <w:tcW w:w="1663"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ind w:left="210" w:leftChars="100" w:right="210" w:rightChars="100"/>
              <w:jc w:val="center"/>
              <w:textAlignment w:val="auto"/>
              <w:rPr>
                <w:rFonts w:hint="eastAsia"/>
                <w:b/>
                <w:bCs/>
              </w:rPr>
            </w:pPr>
            <w:r>
              <w:rPr>
                <w:rFonts w:hint="eastAsia"/>
                <w:b/>
                <w:bCs/>
              </w:rPr>
              <w:t>完成时间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2" w:hRule="atLeast"/>
          <w:jc w:val="center"/>
        </w:trPr>
        <w:tc>
          <w:tcPr>
            <w:tcW w:w="1338"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20" w:lineRule="exact"/>
              <w:ind w:left="210" w:leftChars="100" w:right="210" w:rightChars="100"/>
              <w:jc w:val="center"/>
              <w:textAlignment w:val="auto"/>
              <w:rPr>
                <w:rFonts w:hint="default"/>
                <w:lang w:val="en-US" w:eastAsia="zh-CN"/>
              </w:rPr>
            </w:pPr>
            <w:r>
              <w:rPr>
                <w:rFonts w:hint="eastAsia"/>
                <w:lang w:val="en-US" w:eastAsia="zh-CN"/>
              </w:rPr>
              <w:t>朱虹</w:t>
            </w:r>
          </w:p>
        </w:tc>
        <w:tc>
          <w:tcPr>
            <w:tcW w:w="554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20" w:lineRule="exact"/>
              <w:ind w:right="210" w:rightChars="100"/>
              <w:textAlignment w:val="auto"/>
              <w:rPr>
                <w:rFonts w:hint="default" w:eastAsiaTheme="minorEastAsia"/>
                <w:lang w:val="en-US" w:eastAsia="zh-CN"/>
              </w:rPr>
            </w:pPr>
            <w:r>
              <w:rPr>
                <w:rFonts w:hint="default" w:eastAsiaTheme="minorEastAsia"/>
                <w:lang w:val="en-US" w:eastAsia="zh-CN"/>
              </w:rPr>
              <w:t>从“游园闯关”看低年级语文非纸笔测评的困境与突破</w:t>
            </w:r>
          </w:p>
        </w:tc>
        <w:tc>
          <w:tcPr>
            <w:tcW w:w="1663"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20" w:lineRule="exact"/>
              <w:ind w:left="210" w:leftChars="100" w:right="210" w:rightChars="100"/>
              <w:jc w:val="center"/>
              <w:textAlignment w:val="auto"/>
              <w:rPr>
                <w:rFonts w:hint="eastAsia" w:eastAsiaTheme="minorEastAsia"/>
                <w:lang w:val="en-US" w:eastAsia="zh-CN"/>
              </w:rPr>
            </w:pPr>
            <w:r>
              <w:rPr>
                <w:rFonts w:hint="eastAsia"/>
              </w:rPr>
              <w:t>202</w:t>
            </w:r>
            <w:r>
              <w:rPr>
                <w:rFonts w:hint="eastAsia"/>
                <w:lang w:val="en-US" w:eastAsia="zh-CN"/>
              </w:rPr>
              <w:t>5</w:t>
            </w:r>
            <w:r>
              <w:rPr>
                <w:rFonts w:hint="eastAsia"/>
              </w:rPr>
              <w:t>.</w:t>
            </w:r>
            <w:r>
              <w:rPr>
                <w:rFonts w:hint="eastAsia"/>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9" w:hRule="atLeast"/>
          <w:jc w:val="center"/>
        </w:trPr>
        <w:tc>
          <w:tcPr>
            <w:tcW w:w="1338"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20" w:lineRule="exact"/>
              <w:ind w:left="210" w:leftChars="100" w:right="210" w:rightChars="100"/>
              <w:jc w:val="center"/>
              <w:textAlignment w:val="auto"/>
              <w:rPr>
                <w:rFonts w:hint="default"/>
                <w:lang w:val="en-US" w:eastAsia="zh-CN"/>
              </w:rPr>
            </w:pPr>
            <w:r>
              <w:rPr>
                <w:rFonts w:hint="eastAsia"/>
                <w:lang w:val="en-US" w:eastAsia="zh-CN"/>
              </w:rPr>
              <w:t>殷翁荷</w:t>
            </w:r>
          </w:p>
        </w:tc>
        <w:tc>
          <w:tcPr>
            <w:tcW w:w="554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20" w:lineRule="exact"/>
              <w:ind w:right="210" w:rightChars="100"/>
              <w:textAlignment w:val="auto"/>
              <w:rPr>
                <w:rFonts w:hint="default"/>
                <w:lang w:val="en-US"/>
              </w:rPr>
            </w:pPr>
            <w:r>
              <w:rPr>
                <w:rFonts w:hint="default"/>
                <w:lang w:val="en-US" w:eastAsia="zh-CN"/>
              </w:rPr>
              <w:t>指向教学评一致的表现性评价任务设计</w:t>
            </w:r>
          </w:p>
        </w:tc>
        <w:tc>
          <w:tcPr>
            <w:tcW w:w="1663"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20" w:lineRule="exact"/>
              <w:ind w:left="210" w:leftChars="100" w:right="210" w:rightChars="100"/>
              <w:jc w:val="center"/>
              <w:textAlignment w:val="auto"/>
              <w:rPr>
                <w:rFonts w:hint="default" w:eastAsiaTheme="minorEastAsia"/>
                <w:lang w:val="en-US" w:eastAsia="zh-CN"/>
              </w:rPr>
            </w:pPr>
            <w:r>
              <w:rPr>
                <w:rFonts w:hint="eastAsia"/>
              </w:rPr>
              <w:t>202</w:t>
            </w:r>
            <w:r>
              <w:rPr>
                <w:rFonts w:hint="eastAsia"/>
                <w:lang w:val="en-US" w:eastAsia="zh-CN"/>
              </w:rPr>
              <w:t>5.6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9" w:hRule="atLeast"/>
          <w:jc w:val="center"/>
        </w:trPr>
        <w:tc>
          <w:tcPr>
            <w:tcW w:w="1338"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20" w:lineRule="exact"/>
              <w:ind w:left="210" w:leftChars="100" w:right="210" w:rightChars="100"/>
              <w:jc w:val="center"/>
              <w:textAlignment w:val="auto"/>
              <w:rPr>
                <w:rFonts w:hint="default"/>
                <w:lang w:val="en-US" w:eastAsia="zh-CN"/>
              </w:rPr>
            </w:pPr>
            <w:r>
              <w:rPr>
                <w:rFonts w:hint="eastAsia"/>
                <w:lang w:val="en-US" w:eastAsia="zh-CN"/>
              </w:rPr>
              <w:t>常盛</w:t>
            </w:r>
          </w:p>
        </w:tc>
        <w:tc>
          <w:tcPr>
            <w:tcW w:w="554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20" w:lineRule="exact"/>
              <w:ind w:right="210" w:rightChars="100"/>
              <w:textAlignment w:val="auto"/>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“三维五域”框架下小学低年级语文非纸笔测评体系构建与实践探索——基于核心素养的闯关式评价模型设计</w:t>
            </w:r>
          </w:p>
        </w:tc>
        <w:tc>
          <w:tcPr>
            <w:tcW w:w="1663"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spacing w:line="420" w:lineRule="exact"/>
              <w:ind w:left="210" w:leftChars="100" w:right="210" w:rightChars="100"/>
              <w:jc w:val="center"/>
              <w:textAlignment w:val="auto"/>
              <w:rPr>
                <w:rFonts w:hint="default" w:eastAsiaTheme="minorEastAsia"/>
                <w:lang w:val="en-US" w:eastAsia="zh-CN"/>
              </w:rPr>
            </w:pPr>
            <w:r>
              <w:rPr>
                <w:rFonts w:hint="eastAsia"/>
                <w:lang w:val="en-US" w:eastAsia="zh-CN"/>
              </w:rPr>
              <w:t>2025.6</w:t>
            </w:r>
          </w:p>
        </w:tc>
      </w:tr>
    </w:tbl>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A191A1"/>
    <w:multiLevelType w:val="singleLevel"/>
    <w:tmpl w:val="F6A191A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02a4b60f-215d-48d6-9e9a-5c71a3a7efa3"/>
  </w:docVars>
  <w:rsids>
    <w:rsidRoot w:val="00000000"/>
    <w:rsid w:val="0C1B70D6"/>
    <w:rsid w:val="11777B84"/>
    <w:rsid w:val="26496D3F"/>
    <w:rsid w:val="2B405D91"/>
    <w:rsid w:val="2DB01B19"/>
    <w:rsid w:val="50D26477"/>
    <w:rsid w:val="57100194"/>
    <w:rsid w:val="589D6CB9"/>
    <w:rsid w:val="5FBB6D7E"/>
    <w:rsid w:val="65203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1256</Words>
  <Characters>1296</Characters>
  <Lines>0</Lines>
  <Paragraphs>0</Paragraphs>
  <TotalTime>16</TotalTime>
  <ScaleCrop>false</ScaleCrop>
  <LinksUpToDate>false</LinksUpToDate>
  <CharactersWithSpaces>1304</CharactersWithSpaces>
  <Application>WPS Office_11.1.0.12375_F1E327BC-269C-435d-A152-05C5408002CA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2021-02-25T04:57:00Z</dcterms:created>
  <dc:creator>冯淼</dc:creator>
  <cp:lastModifiedBy>sl</cp:lastModifiedBy>
  <dcterms:modified xsi:type="dcterms:W3CDTF">2025-02-18T11:48:36Z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2052-11.1.0.12375</vt:lpwstr>
  </property>
  <property fmtid="{D5CDD505-2E9C-101B-9397-08002B2CF9AE}" pid="3" name="ICV">
    <vt:lpwstr>3624E471D0BB4A9BA5EE2D25E007CFCA</vt:lpwstr>
  </property>
</Properties>
</file>