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color w:val="FF0000"/>
          <w:sz w:val="21"/>
          <w:szCs w:val="21"/>
          <w:lang w:val="en-US"/>
        </w:rPr>
      </w:pPr>
      <w:r>
        <w:rPr>
          <w:rFonts w:hint="eastAsia"/>
          <w:b/>
          <w:bCs/>
          <w:sz w:val="30"/>
          <w:szCs w:val="30"/>
          <w:lang w:val="en-US" w:eastAsia="zh-CN"/>
        </w:rPr>
        <w:t>新北区小学语文教学谢攀优秀教师培育室活动记录表</w:t>
      </w:r>
    </w:p>
    <w:tbl>
      <w:tblPr>
        <w:tblStyle w:val="5"/>
        <w:tblpPr w:leftFromText="180" w:rightFromText="180" w:vertAnchor="page" w:horzAnchor="page" w:tblpX="1815" w:tblpY="208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4"/>
        <w:gridCol w:w="2526"/>
        <w:gridCol w:w="1914"/>
        <w:gridCol w:w="2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734" w:type="dxa"/>
            <w:noWrap w:val="0"/>
            <w:vAlign w:val="center"/>
          </w:tcPr>
          <w:p>
            <w:pPr>
              <w:jc w:val="center"/>
              <w:rPr>
                <w:rFonts w:hint="eastAsia"/>
                <w:b w:val="0"/>
                <w:bCs w:val="0"/>
                <w:sz w:val="21"/>
                <w:szCs w:val="21"/>
              </w:rPr>
            </w:pPr>
            <w:r>
              <w:rPr>
                <w:rFonts w:hint="eastAsia"/>
                <w:b w:val="0"/>
                <w:bCs w:val="0"/>
                <w:sz w:val="21"/>
                <w:szCs w:val="21"/>
              </w:rPr>
              <w:t>活动主题</w:t>
            </w:r>
          </w:p>
        </w:tc>
        <w:tc>
          <w:tcPr>
            <w:tcW w:w="6788" w:type="dxa"/>
            <w:gridSpan w:val="3"/>
            <w:noWrap w:val="0"/>
            <w:vAlign w:val="center"/>
          </w:tcPr>
          <w:p>
            <w:pPr>
              <w:jc w:val="center"/>
              <w:rPr>
                <w:rFonts w:hint="default" w:eastAsia="宋体"/>
                <w:b w:val="0"/>
                <w:bCs w:val="0"/>
                <w:sz w:val="21"/>
                <w:szCs w:val="21"/>
                <w:lang w:val="en-US" w:eastAsia="zh-CN"/>
              </w:rPr>
            </w:pPr>
            <w:r>
              <w:rPr>
                <w:rFonts w:hint="eastAsia"/>
                <w:b w:val="0"/>
                <w:bCs w:val="0"/>
                <w:sz w:val="21"/>
                <w:szCs w:val="21"/>
                <w:lang w:val="en-US" w:eastAsia="zh-CN"/>
              </w:rPr>
              <w:t>聚焦习作单元，探索读写一体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734" w:type="dxa"/>
            <w:noWrap w:val="0"/>
            <w:vAlign w:val="center"/>
          </w:tcPr>
          <w:p>
            <w:pPr>
              <w:jc w:val="center"/>
              <w:rPr>
                <w:rFonts w:hint="eastAsia"/>
                <w:b w:val="0"/>
                <w:bCs w:val="0"/>
                <w:sz w:val="21"/>
                <w:szCs w:val="21"/>
              </w:rPr>
            </w:pPr>
            <w:r>
              <w:rPr>
                <w:rFonts w:hint="eastAsia"/>
                <w:b w:val="0"/>
                <w:bCs w:val="0"/>
                <w:sz w:val="21"/>
                <w:szCs w:val="21"/>
              </w:rPr>
              <w:t>主</w:t>
            </w:r>
            <w:r>
              <w:rPr>
                <w:rFonts w:hint="eastAsia"/>
                <w:b w:val="0"/>
                <w:bCs w:val="0"/>
                <w:sz w:val="21"/>
                <w:szCs w:val="21"/>
                <w:lang w:val="en-US" w:eastAsia="zh-CN"/>
              </w:rPr>
              <w:t xml:space="preserve"> </w:t>
            </w:r>
            <w:r>
              <w:rPr>
                <w:rFonts w:hint="eastAsia"/>
                <w:b w:val="0"/>
                <w:bCs w:val="0"/>
                <w:sz w:val="21"/>
                <w:szCs w:val="21"/>
              </w:rPr>
              <w:t>持</w:t>
            </w:r>
            <w:r>
              <w:rPr>
                <w:rFonts w:hint="eastAsia"/>
                <w:b w:val="0"/>
                <w:bCs w:val="0"/>
                <w:sz w:val="21"/>
                <w:szCs w:val="21"/>
                <w:lang w:val="en-US" w:eastAsia="zh-CN"/>
              </w:rPr>
              <w:t xml:space="preserve"> </w:t>
            </w:r>
            <w:r>
              <w:rPr>
                <w:rFonts w:hint="eastAsia"/>
                <w:b w:val="0"/>
                <w:bCs w:val="0"/>
                <w:sz w:val="21"/>
                <w:szCs w:val="21"/>
              </w:rPr>
              <w:t>人</w:t>
            </w:r>
          </w:p>
        </w:tc>
        <w:tc>
          <w:tcPr>
            <w:tcW w:w="2526" w:type="dxa"/>
            <w:noWrap w:val="0"/>
            <w:vAlign w:val="center"/>
          </w:tcPr>
          <w:p>
            <w:pPr>
              <w:jc w:val="center"/>
              <w:rPr>
                <w:rFonts w:hint="default" w:eastAsia="宋体"/>
                <w:b w:val="0"/>
                <w:bCs w:val="0"/>
                <w:sz w:val="21"/>
                <w:szCs w:val="21"/>
                <w:lang w:val="en-US" w:eastAsia="zh-CN"/>
              </w:rPr>
            </w:pPr>
            <w:r>
              <w:rPr>
                <w:rFonts w:hint="eastAsia"/>
                <w:b w:val="0"/>
                <w:bCs w:val="0"/>
                <w:sz w:val="21"/>
                <w:szCs w:val="21"/>
                <w:lang w:val="en-US" w:eastAsia="zh-CN"/>
              </w:rPr>
              <w:t>谢攀</w:t>
            </w:r>
          </w:p>
        </w:tc>
        <w:tc>
          <w:tcPr>
            <w:tcW w:w="1914" w:type="dxa"/>
            <w:noWrap w:val="0"/>
            <w:vAlign w:val="center"/>
          </w:tcPr>
          <w:p>
            <w:pPr>
              <w:jc w:val="center"/>
              <w:rPr>
                <w:rFonts w:hint="eastAsia"/>
                <w:b w:val="0"/>
                <w:bCs w:val="0"/>
                <w:sz w:val="21"/>
                <w:szCs w:val="21"/>
              </w:rPr>
            </w:pPr>
            <w:r>
              <w:rPr>
                <w:rFonts w:hint="eastAsia"/>
                <w:b w:val="0"/>
                <w:bCs w:val="0"/>
                <w:sz w:val="21"/>
                <w:szCs w:val="21"/>
              </w:rPr>
              <w:t>主</w:t>
            </w:r>
            <w:r>
              <w:rPr>
                <w:rFonts w:hint="eastAsia"/>
                <w:b w:val="0"/>
                <w:bCs w:val="0"/>
                <w:sz w:val="21"/>
                <w:szCs w:val="21"/>
                <w:lang w:val="en-US" w:eastAsia="zh-CN"/>
              </w:rPr>
              <w:t xml:space="preserve"> </w:t>
            </w:r>
            <w:r>
              <w:rPr>
                <w:rFonts w:hint="eastAsia"/>
                <w:b w:val="0"/>
                <w:bCs w:val="0"/>
                <w:sz w:val="21"/>
                <w:szCs w:val="21"/>
              </w:rPr>
              <w:t>讲</w:t>
            </w:r>
            <w:r>
              <w:rPr>
                <w:rFonts w:hint="eastAsia"/>
                <w:b w:val="0"/>
                <w:bCs w:val="0"/>
                <w:sz w:val="21"/>
                <w:szCs w:val="21"/>
                <w:lang w:val="en-US" w:eastAsia="zh-CN"/>
              </w:rPr>
              <w:t xml:space="preserve"> </w:t>
            </w:r>
            <w:r>
              <w:rPr>
                <w:rFonts w:hint="eastAsia"/>
                <w:b w:val="0"/>
                <w:bCs w:val="0"/>
                <w:sz w:val="21"/>
                <w:szCs w:val="21"/>
              </w:rPr>
              <w:t>人</w:t>
            </w:r>
          </w:p>
        </w:tc>
        <w:tc>
          <w:tcPr>
            <w:tcW w:w="2348" w:type="dxa"/>
            <w:noWrap w:val="0"/>
            <w:vAlign w:val="center"/>
          </w:tcPr>
          <w:p>
            <w:pPr>
              <w:jc w:val="center"/>
              <w:rPr>
                <w:rFonts w:hint="default" w:eastAsia="宋体"/>
                <w:b w:val="0"/>
                <w:bCs w:val="0"/>
                <w:sz w:val="21"/>
                <w:szCs w:val="21"/>
                <w:lang w:val="en-US" w:eastAsia="zh-CN"/>
              </w:rPr>
            </w:pPr>
            <w:r>
              <w:rPr>
                <w:rFonts w:hint="eastAsia"/>
                <w:b w:val="0"/>
                <w:bCs w:val="0"/>
                <w:sz w:val="21"/>
                <w:szCs w:val="21"/>
                <w:lang w:val="en-US" w:eastAsia="zh-CN"/>
              </w:rPr>
              <w:t>谢攀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734" w:type="dxa"/>
            <w:noWrap w:val="0"/>
            <w:vAlign w:val="center"/>
          </w:tcPr>
          <w:p>
            <w:pPr>
              <w:jc w:val="center"/>
              <w:rPr>
                <w:rFonts w:hint="eastAsia"/>
                <w:b w:val="0"/>
                <w:bCs w:val="0"/>
                <w:sz w:val="21"/>
                <w:szCs w:val="21"/>
              </w:rPr>
            </w:pPr>
            <w:r>
              <w:rPr>
                <w:rFonts w:hint="eastAsia"/>
                <w:b w:val="0"/>
                <w:bCs w:val="0"/>
                <w:sz w:val="21"/>
                <w:szCs w:val="21"/>
              </w:rPr>
              <w:t>活动时间</w:t>
            </w:r>
          </w:p>
        </w:tc>
        <w:tc>
          <w:tcPr>
            <w:tcW w:w="2526" w:type="dxa"/>
            <w:noWrap w:val="0"/>
            <w:vAlign w:val="center"/>
          </w:tcPr>
          <w:p>
            <w:pPr>
              <w:jc w:val="center"/>
              <w:rPr>
                <w:rFonts w:hint="default" w:eastAsia="宋体"/>
                <w:b w:val="0"/>
                <w:bCs w:val="0"/>
                <w:sz w:val="21"/>
                <w:szCs w:val="21"/>
                <w:lang w:val="en-US" w:eastAsia="zh-CN"/>
              </w:rPr>
            </w:pPr>
            <w:r>
              <w:rPr>
                <w:rFonts w:hint="eastAsia" w:ascii="宋体" w:hAnsi="宋体" w:eastAsia="宋体" w:cs="宋体"/>
                <w:b w:val="0"/>
                <w:bCs w:val="0"/>
                <w:sz w:val="21"/>
                <w:szCs w:val="21"/>
                <w:lang w:val="en-US" w:eastAsia="zh-CN"/>
              </w:rPr>
              <w:t>202</w:t>
            </w:r>
            <w:r>
              <w:rPr>
                <w:rFonts w:hint="eastAsia" w:ascii="宋体" w:hAnsi="宋体" w:cs="宋体"/>
                <w:b w:val="0"/>
                <w:bCs w:val="0"/>
                <w:sz w:val="21"/>
                <w:szCs w:val="21"/>
                <w:lang w:val="en-US" w:eastAsia="zh-CN"/>
              </w:rPr>
              <w:t>5</w:t>
            </w:r>
            <w:r>
              <w:rPr>
                <w:rFonts w:hint="eastAsia" w:ascii="宋体" w:hAnsi="宋体" w:eastAsia="宋体" w:cs="宋体"/>
                <w:b w:val="0"/>
                <w:bCs w:val="0"/>
                <w:sz w:val="21"/>
                <w:szCs w:val="21"/>
                <w:lang w:val="en-US" w:eastAsia="zh-CN"/>
              </w:rPr>
              <w:t>.</w:t>
            </w:r>
            <w:r>
              <w:rPr>
                <w:rFonts w:hint="eastAsia" w:ascii="宋体" w:hAnsi="宋体" w:cs="宋体"/>
                <w:b w:val="0"/>
                <w:bCs w:val="0"/>
                <w:sz w:val="21"/>
                <w:szCs w:val="21"/>
                <w:lang w:val="en-US" w:eastAsia="zh-CN"/>
              </w:rPr>
              <w:t>2.28</w:t>
            </w:r>
          </w:p>
        </w:tc>
        <w:tc>
          <w:tcPr>
            <w:tcW w:w="1914" w:type="dxa"/>
            <w:noWrap w:val="0"/>
            <w:vAlign w:val="center"/>
          </w:tcPr>
          <w:p>
            <w:pPr>
              <w:jc w:val="center"/>
              <w:rPr>
                <w:rFonts w:hint="eastAsia"/>
                <w:b w:val="0"/>
                <w:bCs w:val="0"/>
                <w:sz w:val="21"/>
                <w:szCs w:val="21"/>
              </w:rPr>
            </w:pPr>
            <w:r>
              <w:rPr>
                <w:rFonts w:hint="eastAsia"/>
                <w:b w:val="0"/>
                <w:bCs w:val="0"/>
                <w:sz w:val="21"/>
                <w:szCs w:val="21"/>
              </w:rPr>
              <w:t>活动地点</w:t>
            </w:r>
          </w:p>
        </w:tc>
        <w:tc>
          <w:tcPr>
            <w:tcW w:w="2348" w:type="dxa"/>
            <w:noWrap w:val="0"/>
            <w:vAlign w:val="center"/>
          </w:tcPr>
          <w:p>
            <w:pPr>
              <w:jc w:val="center"/>
              <w:rPr>
                <w:rFonts w:hint="default" w:eastAsia="宋体"/>
                <w:b w:val="0"/>
                <w:bCs w:val="0"/>
                <w:sz w:val="21"/>
                <w:szCs w:val="21"/>
                <w:lang w:val="en-US" w:eastAsia="zh-CN"/>
              </w:rPr>
            </w:pPr>
            <w:r>
              <w:rPr>
                <w:rFonts w:hint="eastAsia"/>
                <w:b w:val="0"/>
                <w:bCs w:val="0"/>
                <w:sz w:val="21"/>
                <w:szCs w:val="21"/>
                <w:lang w:val="en-US" w:eastAsia="zh-CN"/>
              </w:rPr>
              <w:t>腾讯会议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1734" w:type="dxa"/>
            <w:noWrap w:val="0"/>
            <w:vAlign w:val="center"/>
          </w:tcPr>
          <w:p>
            <w:pPr>
              <w:jc w:val="center"/>
              <w:rPr>
                <w:rFonts w:hint="eastAsia"/>
                <w:b w:val="0"/>
                <w:bCs w:val="0"/>
                <w:sz w:val="21"/>
                <w:szCs w:val="21"/>
              </w:rPr>
            </w:pPr>
            <w:r>
              <w:rPr>
                <w:rFonts w:hint="eastAsia"/>
                <w:b w:val="0"/>
                <w:bCs w:val="0"/>
                <w:sz w:val="21"/>
                <w:szCs w:val="21"/>
              </w:rPr>
              <w:t>参与教师</w:t>
            </w:r>
          </w:p>
        </w:tc>
        <w:tc>
          <w:tcPr>
            <w:tcW w:w="6788" w:type="dxa"/>
            <w:gridSpan w:val="3"/>
            <w:noWrap w:val="0"/>
            <w:vAlign w:val="center"/>
          </w:tcPr>
          <w:p>
            <w:pPr>
              <w:jc w:val="both"/>
              <w:rPr>
                <w:rFonts w:hint="default" w:eastAsia="宋体"/>
                <w:b w:val="0"/>
                <w:bCs w:val="0"/>
                <w:sz w:val="21"/>
                <w:szCs w:val="21"/>
                <w:lang w:val="en-US" w:eastAsia="zh-CN"/>
              </w:rPr>
            </w:pPr>
            <w:r>
              <w:rPr>
                <w:rFonts w:hint="eastAsia" w:eastAsia="宋体"/>
                <w:b w:val="0"/>
                <w:bCs w:val="0"/>
                <w:sz w:val="21"/>
                <w:szCs w:val="21"/>
                <w:lang w:val="en-US" w:eastAsia="zh-CN"/>
              </w:rPr>
              <w:t xml:space="preserve">谢攀 </w:t>
            </w:r>
            <w:r>
              <w:rPr>
                <w:rFonts w:hint="eastAsia"/>
                <w:b w:val="0"/>
                <w:bCs w:val="0"/>
                <w:sz w:val="21"/>
                <w:szCs w:val="21"/>
                <w:lang w:val="en-US" w:eastAsia="zh-CN"/>
              </w:rPr>
              <w:t xml:space="preserve">芮雯 </w:t>
            </w:r>
            <w:r>
              <w:rPr>
                <w:rFonts w:hint="eastAsia" w:eastAsia="宋体"/>
                <w:b w:val="0"/>
                <w:bCs w:val="0"/>
                <w:sz w:val="21"/>
                <w:szCs w:val="21"/>
                <w:lang w:val="en-US" w:eastAsia="zh-CN"/>
              </w:rPr>
              <w:t xml:space="preserve">许阳 </w:t>
            </w:r>
            <w:r>
              <w:rPr>
                <w:rFonts w:hint="eastAsia"/>
                <w:b w:val="0"/>
                <w:bCs w:val="0"/>
                <w:sz w:val="21"/>
                <w:szCs w:val="21"/>
                <w:lang w:val="en-US" w:eastAsia="zh-CN"/>
              </w:rPr>
              <w:t xml:space="preserve">徐娴 </w:t>
            </w:r>
            <w:r>
              <w:rPr>
                <w:rFonts w:hint="eastAsia" w:eastAsia="宋体"/>
                <w:b w:val="0"/>
                <w:bCs w:val="0"/>
                <w:sz w:val="21"/>
                <w:szCs w:val="21"/>
                <w:lang w:val="en-US" w:eastAsia="zh-CN"/>
              </w:rPr>
              <w:t xml:space="preserve">高昕成 唐婧怡 </w:t>
            </w:r>
            <w:r>
              <w:rPr>
                <w:rFonts w:hint="eastAsia"/>
                <w:b w:val="0"/>
                <w:bCs w:val="0"/>
                <w:sz w:val="21"/>
                <w:szCs w:val="21"/>
                <w:lang w:val="en-US" w:eastAsia="zh-CN"/>
              </w:rPr>
              <w:t xml:space="preserve">郭婧依 </w:t>
            </w:r>
            <w:r>
              <w:rPr>
                <w:rFonts w:hint="eastAsia" w:eastAsia="宋体"/>
                <w:b w:val="0"/>
                <w:bCs w:val="0"/>
                <w:sz w:val="21"/>
                <w:szCs w:val="21"/>
                <w:lang w:val="en-US" w:eastAsia="zh-CN"/>
              </w:rPr>
              <w:t xml:space="preserve">巢肖琴 刘祯 曾丹萍 孔玉香 潘玲霞 宦欢 </w:t>
            </w:r>
            <w:r>
              <w:rPr>
                <w:rFonts w:hint="eastAsia"/>
                <w:b w:val="0"/>
                <w:bCs w:val="0"/>
                <w:sz w:val="21"/>
                <w:szCs w:val="21"/>
                <w:lang w:val="en-US" w:eastAsia="zh-CN"/>
              </w:rPr>
              <w:t xml:space="preserve">胡芯 </w:t>
            </w:r>
            <w:r>
              <w:rPr>
                <w:rFonts w:hint="eastAsia" w:eastAsia="宋体"/>
                <w:b w:val="0"/>
                <w:bCs w:val="0"/>
                <w:sz w:val="21"/>
                <w:szCs w:val="21"/>
                <w:lang w:val="en-US" w:eastAsia="zh-CN"/>
              </w:rPr>
              <w:t>李嘉浩</w:t>
            </w:r>
            <w:r>
              <w:rPr>
                <w:rFonts w:hint="eastAsia"/>
                <w:b w:val="0"/>
                <w:bCs w:val="0"/>
                <w:sz w:val="21"/>
                <w:szCs w:val="21"/>
                <w:lang w:val="en-US" w:eastAsia="zh-CN"/>
              </w:rPr>
              <w:t xml:space="preserve"> 翟绵纬 </w:t>
            </w:r>
            <w:r>
              <w:rPr>
                <w:rFonts w:hint="eastAsia" w:eastAsia="宋体"/>
                <w:b w:val="0"/>
                <w:bCs w:val="0"/>
                <w:sz w:val="21"/>
                <w:szCs w:val="21"/>
                <w:lang w:val="en-US" w:eastAsia="zh-CN"/>
              </w:rPr>
              <w:t>周丁露</w:t>
            </w:r>
            <w:r>
              <w:rPr>
                <w:rFonts w:hint="eastAsia"/>
                <w:b w:val="0"/>
                <w:bCs w:val="0"/>
                <w:sz w:val="21"/>
                <w:szCs w:val="21"/>
                <w:lang w:val="en-US" w:eastAsia="zh-CN"/>
              </w:rPr>
              <w:t xml:space="preserve"> </w:t>
            </w:r>
            <w:r>
              <w:rPr>
                <w:rFonts w:hint="eastAsia" w:eastAsia="宋体"/>
                <w:b w:val="0"/>
                <w:bCs w:val="0"/>
                <w:sz w:val="21"/>
                <w:szCs w:val="21"/>
                <w:lang w:val="en-US" w:eastAsia="zh-CN"/>
              </w:rPr>
              <w:t xml:space="preserve">汤佳雯 </w:t>
            </w:r>
            <w:r>
              <w:rPr>
                <w:rFonts w:hint="eastAsia"/>
                <w:b w:val="0"/>
                <w:bCs w:val="0"/>
                <w:sz w:val="21"/>
                <w:szCs w:val="21"/>
                <w:lang w:val="en-US" w:eastAsia="zh-CN"/>
              </w:rPr>
              <w:t>王尹希 陈珊 季晓云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0" w:hRule="atLeast"/>
        </w:trPr>
        <w:tc>
          <w:tcPr>
            <w:tcW w:w="1734" w:type="dxa"/>
            <w:noWrap w:val="0"/>
            <w:vAlign w:val="top"/>
          </w:tcPr>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b w:val="0"/>
                <w:bCs w:val="0"/>
                <w:lang w:val="en-US" w:eastAsia="zh-CN"/>
              </w:rPr>
            </w:pPr>
            <w:r>
              <w:rPr>
                <w:rFonts w:hint="eastAsia"/>
                <w:b w:val="0"/>
                <w:bCs w:val="0"/>
                <w:lang w:val="en-US" w:eastAsia="zh-CN"/>
              </w:rPr>
              <w:t>活</w:t>
            </w:r>
          </w:p>
          <w:p>
            <w:pPr>
              <w:jc w:val="center"/>
              <w:rPr>
                <w:rFonts w:hint="eastAsia"/>
                <w:b w:val="0"/>
                <w:bCs w:val="0"/>
                <w:lang w:val="en-US" w:eastAsia="zh-CN"/>
              </w:rPr>
            </w:pPr>
          </w:p>
          <w:p>
            <w:pPr>
              <w:jc w:val="center"/>
              <w:rPr>
                <w:rFonts w:hint="eastAsia"/>
                <w:b w:val="0"/>
                <w:bCs w:val="0"/>
                <w:lang w:val="en-US" w:eastAsia="zh-CN"/>
              </w:rPr>
            </w:pPr>
          </w:p>
          <w:p>
            <w:pPr>
              <w:jc w:val="center"/>
              <w:rPr>
                <w:rFonts w:hint="eastAsia"/>
                <w:b w:val="0"/>
                <w:bCs w:val="0"/>
                <w:lang w:val="en-US" w:eastAsia="zh-CN"/>
              </w:rPr>
            </w:pPr>
            <w:r>
              <w:rPr>
                <w:rFonts w:hint="eastAsia"/>
                <w:b w:val="0"/>
                <w:bCs w:val="0"/>
                <w:lang w:val="en-US" w:eastAsia="zh-CN"/>
              </w:rPr>
              <w:t>动</w:t>
            </w:r>
          </w:p>
          <w:p>
            <w:pPr>
              <w:jc w:val="center"/>
              <w:rPr>
                <w:rFonts w:hint="eastAsia"/>
                <w:b w:val="0"/>
                <w:bCs w:val="0"/>
                <w:lang w:val="en-US" w:eastAsia="zh-CN"/>
              </w:rPr>
            </w:pPr>
          </w:p>
          <w:p>
            <w:pPr>
              <w:jc w:val="center"/>
              <w:rPr>
                <w:rFonts w:hint="eastAsia"/>
                <w:b w:val="0"/>
                <w:bCs w:val="0"/>
                <w:lang w:val="en-US" w:eastAsia="zh-CN"/>
              </w:rPr>
            </w:pPr>
          </w:p>
          <w:p>
            <w:pPr>
              <w:jc w:val="center"/>
              <w:rPr>
                <w:rFonts w:hint="eastAsia"/>
                <w:b w:val="0"/>
                <w:bCs w:val="0"/>
                <w:lang w:val="en-US" w:eastAsia="zh-CN"/>
              </w:rPr>
            </w:pPr>
            <w:r>
              <w:rPr>
                <w:rFonts w:hint="eastAsia"/>
                <w:b w:val="0"/>
                <w:bCs w:val="0"/>
                <w:lang w:val="en-US" w:eastAsia="zh-CN"/>
              </w:rPr>
              <w:t>过</w:t>
            </w:r>
          </w:p>
          <w:p>
            <w:pPr>
              <w:jc w:val="center"/>
              <w:rPr>
                <w:rFonts w:hint="eastAsia"/>
                <w:b w:val="0"/>
                <w:bCs w:val="0"/>
                <w:lang w:val="en-US" w:eastAsia="zh-CN"/>
              </w:rPr>
            </w:pPr>
          </w:p>
          <w:p>
            <w:pPr>
              <w:jc w:val="center"/>
              <w:rPr>
                <w:rFonts w:hint="eastAsia"/>
                <w:b w:val="0"/>
                <w:bCs w:val="0"/>
                <w:lang w:val="en-US" w:eastAsia="zh-CN"/>
              </w:rPr>
            </w:pPr>
          </w:p>
          <w:p>
            <w:pPr>
              <w:jc w:val="center"/>
              <w:rPr>
                <w:rFonts w:hint="default"/>
                <w:lang w:val="en-US" w:eastAsia="zh-CN"/>
              </w:rPr>
            </w:pPr>
            <w:r>
              <w:rPr>
                <w:rFonts w:hint="eastAsia"/>
                <w:b w:val="0"/>
                <w:bCs w:val="0"/>
                <w:lang w:val="en-US" w:eastAsia="zh-CN"/>
              </w:rPr>
              <w:t>程</w:t>
            </w:r>
          </w:p>
        </w:tc>
        <w:tc>
          <w:tcPr>
            <w:tcW w:w="6788" w:type="dxa"/>
            <w:gridSpan w:val="3"/>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b/>
                <w:bCs/>
                <w:sz w:val="21"/>
                <w:szCs w:val="21"/>
                <w:lang w:val="en-US" w:eastAsia="zh-CN"/>
              </w:rPr>
            </w:pPr>
            <w:r>
              <w:rPr>
                <w:rFonts w:hint="eastAsia"/>
                <w:b/>
                <w:bCs/>
                <w:sz w:val="21"/>
                <w:szCs w:val="21"/>
                <w:lang w:val="en-US" w:eastAsia="zh-CN"/>
              </w:rPr>
              <w:t>一、课堂·量表贯穿促习作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首先，成员们线上观摩了谢攀老师执教的四年级习作《记一次游戏》作后升级课。课前，老师以游戏视频为导，将学生引入之前的游戏场景中，调动记忆与感受，为之后的学习交流做铺垫。课中，学生紧扣评价量表展开递进式学习之旅——理解量表、运用量表评价同伴习作并从中得出升级策略、尝试用升级策略升级自己的习作。整节课，以评价为主线，学生在多元评价中习得习作修改的方法，体现了评价即学习的理念。谢老师在课后具体阐述本节课中量表制定的依据、升级策略的由来等核心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b/>
                <w:bCs/>
                <w:sz w:val="21"/>
                <w:szCs w:val="21"/>
                <w:lang w:val="en-US" w:eastAsia="zh-CN"/>
              </w:rPr>
            </w:pPr>
            <w:r>
              <w:rPr>
                <w:rFonts w:hint="eastAsia"/>
                <w:b/>
                <w:bCs/>
                <w:sz w:val="21"/>
                <w:szCs w:val="21"/>
                <w:lang w:val="en-US" w:eastAsia="zh-CN"/>
              </w:rPr>
              <w:t>二、沙龙·共话评价启思辨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随后，老师们紧扣本次活动主题关键词“评价”对谢老师这节示范课进行多维度的交流。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谢老师以评价量表为核心构建了完整的教学评一体化路径，其教学设计呈现三大显著特征。首先是分层评价标准明确，针对四年级学生本次习作的难点设置评价标准，通过星级评价表实现写作指导可视化。其次是案例对标深化理解，选取学生典型习作案例建立标准参照系，有效突破过程描写笼统的共性问题。再者是小组修改实践驱动，组织学生依据量表开展三轮互评，学生在评价中实现思维的升级与跃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right"/>
              <w:textAlignment w:val="auto"/>
              <w:rPr>
                <w:rFonts w:hint="eastAsia"/>
                <w:b w:val="0"/>
                <w:bCs w:val="0"/>
                <w:sz w:val="21"/>
                <w:szCs w:val="21"/>
                <w:lang w:val="en-US" w:eastAsia="zh-CN"/>
              </w:rPr>
            </w:pPr>
            <w:r>
              <w:rPr>
                <w:rFonts w:hint="eastAsia"/>
                <w:b w:val="0"/>
                <w:bCs w:val="0"/>
                <w:sz w:val="21"/>
                <w:szCs w:val="21"/>
                <w:lang w:val="en-US" w:eastAsia="zh-CN"/>
              </w:rPr>
              <w:t>——龙城小学 宦欢老师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听了谢老师的课，最大的感受便是评价量表的灵活运用。在这节课中，评价量表主要有两个作用，一是定级，根据量表清晰自己的习作所属的层级，二是升级，在量表极度清晰的评判标准下，学生都很清楚地明白自己要改正的方向，即写作的目标。作为一节作后指导课，指向性非常强，整节课堂学生学习的自主性高，几乎都是在生生互动中完成了习作的升级，解决了老师单方批作文，学生又不知其所以然的难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right"/>
              <w:textAlignment w:val="auto"/>
              <w:rPr>
                <w:rFonts w:hint="eastAsia"/>
                <w:b w:val="0"/>
                <w:bCs w:val="0"/>
                <w:sz w:val="21"/>
                <w:szCs w:val="21"/>
                <w:lang w:val="en-US" w:eastAsia="zh-CN"/>
              </w:rPr>
            </w:pPr>
            <w:r>
              <w:rPr>
                <w:rFonts w:hint="eastAsia"/>
                <w:b w:val="0"/>
                <w:bCs w:val="0"/>
                <w:sz w:val="21"/>
                <w:szCs w:val="21"/>
                <w:lang w:val="en-US" w:eastAsia="zh-CN"/>
              </w:rPr>
              <w:t>——龙虎塘实验小学 徐娴老师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谢老师的习作讲评课创设了真实情境：通过足球比赛视频与学生采访激发兴趣，引导学生基于体验展开学习。教学聚焦“抓重点、多描写”目标，运用案例对比帮助学生理解重点突出与描写手法。创新设计的“描写”星级评价表提供清晰标准，推动学生自评互评，有效提升自主学习能力。课堂中，学生积极参与讨论、修改，气氛活跃，多数能掌握写作与修改要点。本课有三大亮点值得学习：一是针对性评价，通过分析优秀片段明确写作优势；二是多元互动，小组修改与展示提升共学效率；三是引导性提问，如“如何将二星习作升级为三星”，启发学生自主对照标准思考改进。课堂实现了情境驱动、标准引领、深度参与的有机融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right"/>
              <w:textAlignment w:val="auto"/>
              <w:rPr>
                <w:rFonts w:hint="eastAsia"/>
                <w:b w:val="0"/>
                <w:bCs w:val="0"/>
                <w:sz w:val="21"/>
                <w:szCs w:val="21"/>
                <w:lang w:val="en-US" w:eastAsia="zh-CN"/>
              </w:rPr>
            </w:pPr>
            <w:r>
              <w:rPr>
                <w:rFonts w:hint="eastAsia"/>
                <w:b w:val="0"/>
                <w:bCs w:val="0"/>
                <w:sz w:val="21"/>
                <w:szCs w:val="21"/>
                <w:lang w:val="en-US" w:eastAsia="zh-CN"/>
              </w:rPr>
              <w:t>——小河中心小学 巢肖琴老师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谢老师这节课做到以下三点：（一）量表驱动，从浅层学到深层学。评价量表贯穿全程。学生从内化到运用量表标准，使学习路径、思维发展与能力提升可视化，实现从表层模仿到深度理解的转化。（二）案例比照，从老师教到学生悟。通过典型习作案例对比，学生自主发现表达问题，将教师单向指导转化为学生主动探究，深化对习作要点的认知。（三）表达升级，从清楚说到生动说。量表明确层级标准，助力学生清晰定位表达水平，针对性突破“两星到三星”难点。分层评价既保障基础写作能力达标，又推动高阶生动表达进阶，破解传统作文讲评“一刀切”困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b w:val="0"/>
                <w:bCs w:val="0"/>
                <w:sz w:val="21"/>
                <w:szCs w:val="21"/>
                <w:lang w:val="en-US" w:eastAsia="zh-CN"/>
              </w:rPr>
            </w:pPr>
            <w:r>
              <w:rPr>
                <w:rFonts w:hint="eastAsia"/>
                <w:b w:val="0"/>
                <w:bCs w:val="0"/>
                <w:sz w:val="21"/>
                <w:szCs w:val="21"/>
                <w:lang w:val="en-US" w:eastAsia="zh-CN"/>
              </w:rPr>
              <w:t>——河海实验小学 芮雯老师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b/>
                <w:bCs/>
                <w:sz w:val="21"/>
                <w:szCs w:val="21"/>
                <w:lang w:val="en-US" w:eastAsia="zh-CN"/>
              </w:rPr>
            </w:pPr>
            <w:r>
              <w:rPr>
                <w:rFonts w:hint="eastAsia"/>
                <w:b/>
                <w:bCs/>
                <w:sz w:val="21"/>
                <w:szCs w:val="21"/>
                <w:lang w:val="en-US" w:eastAsia="zh-CN"/>
              </w:rPr>
              <w:t>三、阅读·书香致远共探索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如果说评课是教学技艺的切磋琢磨，那么阅读则是教育灵魂的滋养浸润。假期里成员们以书相伴，共同阅读教育类相关书籍。本次活动聚焦共读书目《儿童教育心理学》，大家在字里行间读儿童，从而领悟育人的真谛，寻找教育的诗和远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儿童教育心理学》中个体认知差异理论为写作教学提供新视角。书中指出，7-10岁儿童正处于具体运算阶段，需通过具象化工具搭建思维支架。我们在《记一次游戏》评价量表中设计的动作分解图示，正是将抽象的过程描写转化为可视化流程图，这一策略与书中认知具象化理念高度契合。建议在量表优化中增加感官体验雷达图，帮助学生捕捉游戏中的视觉、听觉、触觉等多感官信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right"/>
              <w:textAlignment w:val="auto"/>
              <w:rPr>
                <w:rFonts w:hint="eastAsia"/>
                <w:b w:val="0"/>
                <w:bCs w:val="0"/>
                <w:sz w:val="21"/>
                <w:szCs w:val="21"/>
                <w:lang w:val="en-US" w:eastAsia="zh-CN"/>
              </w:rPr>
            </w:pPr>
            <w:r>
              <w:rPr>
                <w:rFonts w:hint="eastAsia"/>
                <w:b w:val="0"/>
                <w:bCs w:val="0"/>
                <w:sz w:val="21"/>
                <w:szCs w:val="21"/>
                <w:lang w:val="en-US" w:eastAsia="zh-CN"/>
              </w:rPr>
              <w:t>——泰山小学 郭婧依老师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儿童教育心理学》这本书中的最近发展区理论对评价的梯度设计有重要启示。以谢攀老师的习作课中设置的三级评价标准为例，它对应维果茨基提出的现有水平-潜在水平发展区间。特别是二星到三星的跨越设计，通过提供心理描写模板、比喻句库等脚手架，帮助学生突破能力瓶颈。在课堂教学中，还可结合书中社会文化理论，在小组互评环节增加跨组别交流，利用同伴影响促进认知发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right"/>
              <w:textAlignment w:val="auto"/>
              <w:rPr>
                <w:rFonts w:hint="eastAsia"/>
                <w:b w:val="0"/>
                <w:bCs w:val="0"/>
                <w:sz w:val="21"/>
                <w:szCs w:val="21"/>
                <w:lang w:val="en-US" w:eastAsia="zh-CN"/>
              </w:rPr>
            </w:pPr>
            <w:r>
              <w:rPr>
                <w:rFonts w:hint="eastAsia"/>
                <w:b w:val="0"/>
                <w:bCs w:val="0"/>
                <w:sz w:val="21"/>
                <w:szCs w:val="21"/>
                <w:lang w:val="en-US" w:eastAsia="zh-CN"/>
              </w:rPr>
              <w:t>——新龙湖实验小学 王尹希老师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儿童教育心理学》这本书以“自卑和超越”为核心，剖析了儿童行为背后的心理逻辑。语言通俗易懂，给身为家长、教师的我许多教育启示。关于“懒惰行为”的分析，我受益颇多。阿德勒就人们关于“懒惰”的错误理解，特别指出懒惰最大的原因是自身能力不足和缺乏成就，以及试图通过懒惰获得关注等不同原因。我们要将“懒惰”等问题视为一种信号，而不是定性评价，观察分析，探索背后的真实需求，调整教育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right"/>
              <w:textAlignment w:val="auto"/>
              <w:rPr>
                <w:rFonts w:hint="eastAsia"/>
                <w:b w:val="0"/>
                <w:bCs w:val="0"/>
                <w:sz w:val="21"/>
                <w:szCs w:val="21"/>
                <w:lang w:val="en-US" w:eastAsia="zh-CN"/>
              </w:rPr>
            </w:pPr>
            <w:r>
              <w:rPr>
                <w:rFonts w:hint="eastAsia"/>
                <w:b w:val="0"/>
                <w:bCs w:val="0"/>
                <w:sz w:val="21"/>
                <w:szCs w:val="21"/>
                <w:lang w:val="en-US" w:eastAsia="zh-CN"/>
              </w:rPr>
              <w:t>——汤庄桥小学 孔玉香老师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儿童教育心理学》犹如一把精巧的钥匙，为我打开了深入理解儿童内心世界的大门。书中关于自卑与超越的阐述尤其令我印象深刻。儿童在成长中，会因自身能力不足、与他人比较等产生自卑感。但正是这种自卑感，促使他们不断努力提升自己，追求超越。所以，教育者在评价孩子时，要正确看待孩子的自卑情绪，通过暖心的鼓励与正向有效的评价引导他们将自卑转化为前进的动力，实现自我超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right"/>
              <w:textAlignment w:val="auto"/>
              <w:rPr>
                <w:rFonts w:hint="eastAsia"/>
                <w:b w:val="0"/>
                <w:bCs w:val="0"/>
                <w:sz w:val="21"/>
                <w:szCs w:val="21"/>
                <w:lang w:val="en-US" w:eastAsia="zh-CN"/>
              </w:rPr>
            </w:pPr>
            <w:r>
              <w:rPr>
                <w:rFonts w:hint="eastAsia"/>
                <w:b w:val="0"/>
                <w:bCs w:val="0"/>
                <w:sz w:val="21"/>
                <w:szCs w:val="21"/>
                <w:lang w:val="en-US" w:eastAsia="zh-CN"/>
              </w:rPr>
              <w:t>——孟河实验小学高昕成老师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阿尔弗雷德·阿德勒的《儿童教育心理学》让我对儿童行为背后的心理动机有了更深的理解。阿德勒提出，人格的统一性是儿童适应环境形成的特殊风格，早在童年时期就已奠定。书中通过一个叛逆小男孩的案例，揭示了儿童问题行为往往源于内心的不安与恐惧，而非表面的“坏”。这提醒我们，教育者应关注孩子的成长环境与心理需求，而非仅仅纠正其行为。阿德勒还指出，自卑与追求优越的心理是人格发展的动力，教育者的责任是帮助孩子克服自卑，培养勇气与自信。通过培养社会情感，孩子学会合作与沟通。这本书让我重新审视教育方式以及教师评价，激励我更加关注儿童的个性差异与心理需求，努力成为更懂孩子的教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b w:val="0"/>
                <w:bCs w:val="0"/>
                <w:sz w:val="21"/>
                <w:szCs w:val="21"/>
                <w:lang w:val="en-US" w:eastAsia="zh-CN"/>
              </w:rPr>
            </w:pPr>
            <w:r>
              <w:rPr>
                <w:rFonts w:hint="eastAsia"/>
                <w:b w:val="0"/>
                <w:bCs w:val="0"/>
                <w:sz w:val="21"/>
                <w:szCs w:val="21"/>
                <w:lang w:val="en-US" w:eastAsia="zh-CN"/>
              </w:rPr>
              <w:t>——局前街新龙湖分校 潘玲霞老师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b/>
                <w:bCs/>
                <w:sz w:val="21"/>
                <w:szCs w:val="21"/>
                <w:lang w:val="en-US" w:eastAsia="zh-CN"/>
              </w:rPr>
            </w:pPr>
            <w:r>
              <w:rPr>
                <w:rFonts w:hint="eastAsia"/>
                <w:b/>
                <w:bCs/>
                <w:sz w:val="21"/>
                <w:szCs w:val="21"/>
                <w:lang w:val="en-US" w:eastAsia="zh-CN"/>
              </w:rPr>
              <w:t>四、分享·蓄力启航绘蓝图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当阅读的星光点亮心灯，更需要脚踏实地的前行规划。新学期，让我们带着思考与热忱，共同绘制成长蓝图。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b/>
                <w:bCs/>
                <w:sz w:val="21"/>
                <w:szCs w:val="21"/>
                <w:lang w:val="en-US" w:eastAsia="zh-CN"/>
              </w:rPr>
            </w:pPr>
            <w:r>
              <w:rPr>
                <w:rFonts w:hint="eastAsia"/>
                <w:b/>
                <w:bCs/>
                <w:sz w:val="21"/>
                <w:szCs w:val="21"/>
                <w:lang w:val="en-US" w:eastAsia="zh-CN"/>
              </w:rPr>
              <w:t>飞龙实验小学陈珊：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本学期个人计划，做好基础工作的同时努力向上提升自我，争取做到五个一：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1.借助教研课提升教学水平，积极磨课，上好一节教研课；2.每周至少阅读一篇语文教育相关的学术论文或一章节专业书籍，重点关注阅读教学、写作教学、核心素养培养等领域的最新研究成果；3.利用一学期的时间沉淀，写好一篇论文；4.做好一个课题研究，本学期校级微型课题计划于期末结题，在日常工作中注意材料的整理和收集；5.参加一个专业竞赛，在快节奏的比赛中迅速提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b/>
                <w:bCs/>
                <w:sz w:val="21"/>
                <w:szCs w:val="21"/>
                <w:lang w:val="en-US" w:eastAsia="zh-CN"/>
              </w:rPr>
            </w:pPr>
            <w:r>
              <w:rPr>
                <w:rFonts w:hint="eastAsia"/>
                <w:b/>
                <w:bCs/>
                <w:sz w:val="21"/>
                <w:szCs w:val="21"/>
                <w:lang w:val="en-US" w:eastAsia="zh-CN"/>
              </w:rPr>
              <w:t>奔牛实验小学曾丹萍：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我将从四个维度阐述本学年发展计划。教学研究方面，将持续深化“30+10”课堂教学模式探索，在去年区级论文发表基础上，本年度计划完成更具实践价值的研究成果，力争形成系列化论文并冲击区级奖项。同步申报“30+10”微型课题，通过文献研究、课堂观察、专家指导等多元路径，打造具有校本特色的实践范式。团队协作方面，将与孔老师共同打磨精品公开课，通过集体备课、试讲评课等环节确保课堂质量。个人发展方面，将保持教育理论研读习惯，系统参与工作室研修活动，建立“实践-反思-优化”的成长闭环。将依托工作室优质平台，以研究促教学，以合作谋发展，在专业成长道路上实现新突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b/>
                <w:bCs/>
                <w:sz w:val="21"/>
                <w:szCs w:val="21"/>
                <w:lang w:val="en-US" w:eastAsia="zh-CN"/>
              </w:rPr>
            </w:pPr>
            <w:r>
              <w:rPr>
                <w:rFonts w:hint="eastAsia"/>
                <w:b/>
                <w:bCs/>
                <w:sz w:val="21"/>
                <w:szCs w:val="21"/>
                <w:lang w:val="en-US" w:eastAsia="zh-CN"/>
              </w:rPr>
              <w:t>香槟湖小学唐婧怡：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 xml:space="preserve">为提升个人专业素养与教学能力，本学期我制定以下计划：1.深化文学理论阅读，夯实学科基础。研读余恕诚《唐诗风貌》：系统学习唐诗的时代背景、政治关联与艺术特质，结合书中对李杜诗歌的分析，尝试设计古诗教学专题，引导学生通过历史视角感悟唐诗的意境与精神。精读孙绍振《名作细读》：重点学习“还原解读法”，借鉴书中审美还原与情感逻辑分析策略，探索适合小学生的文本细读方法。2.融合理论于课堂实践，创新教学设计。尝试将两书理论转化为教学资源，开发跨学科活动，如“唐诗中的自然与人生”主题项目，结合历史、艺术学科，提升学生综合素养。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b/>
                <w:bCs/>
                <w:sz w:val="21"/>
                <w:szCs w:val="21"/>
                <w:lang w:val="en-US" w:eastAsia="zh-CN"/>
              </w:rPr>
            </w:pPr>
            <w:r>
              <w:rPr>
                <w:rFonts w:hint="eastAsia"/>
                <w:b/>
                <w:bCs/>
                <w:sz w:val="21"/>
                <w:szCs w:val="21"/>
                <w:lang w:val="en-US" w:eastAsia="zh-CN"/>
              </w:rPr>
              <w:t>龙城小学李嘉浩：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本学期重点在于学生发展优化计划聚焦阅读、写作与书写能力提升。通过“科学探秘”主题阅读活动，结合科普文本与科技节，运用思维导图引导学生梳理文章结构并撰写读后作品；实施读写一体化教学，在单元习作中渗透写作要素而不偏离文本赏析核心。针对书写薄弱问题，推行两天一次习字打卡。个人发展方面，持续推进思维导图在习作教学中的课题研究，整理《富饶的西沙群岛》课例，设计跨学科读写课例（如在《琥珀》教学中结合科学学科，指导学生撰写说明文）。此外，我将同步开展专业书籍研读，重点探索互动式教学法在课堂的实践应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b/>
                <w:bCs/>
                <w:sz w:val="21"/>
                <w:szCs w:val="21"/>
                <w:lang w:val="en-US" w:eastAsia="zh-CN"/>
              </w:rPr>
            </w:pPr>
            <w:r>
              <w:rPr>
                <w:rFonts w:hint="eastAsia"/>
                <w:b/>
                <w:bCs/>
                <w:sz w:val="21"/>
                <w:szCs w:val="21"/>
                <w:lang w:val="en-US" w:eastAsia="zh-CN"/>
              </w:rPr>
              <w:t>河海实验小学汤佳雯：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b w:val="0"/>
                <w:bCs w:val="0"/>
                <w:sz w:val="21"/>
                <w:szCs w:val="21"/>
                <w:lang w:val="en-US" w:eastAsia="zh-CN"/>
              </w:rPr>
            </w:pPr>
            <w:r>
              <w:rPr>
                <w:rFonts w:hint="eastAsia"/>
                <w:b w:val="0"/>
                <w:bCs w:val="0"/>
                <w:sz w:val="21"/>
                <w:szCs w:val="21"/>
                <w:lang w:val="en-US" w:eastAsia="zh-CN"/>
              </w:rPr>
              <w:t>本学期个人计划，不断扎实基本功，在磨炼中获得成长。总体按照“走出去—引进来—再走出去”的三步走：“走出去”是积极主动参与基本功比赛、上好一节校际集团课；“引进来”是通过培育室活动、外出培训、阅读专业书籍等途径拓宽眼界，提升教学、管理等专业素养，也为撰写论文寻找灵感；“再走出去”是认真撰写一篇论文，积极参与论文比赛，努力发表；鼓励并指导学生积极参与书法类、作文类、科技类竞赛，提升综合素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b/>
                <w:bCs/>
                <w:sz w:val="21"/>
                <w:szCs w:val="21"/>
                <w:lang w:val="en-US" w:eastAsia="zh-CN"/>
              </w:rPr>
            </w:pPr>
            <w:r>
              <w:rPr>
                <w:rFonts w:hint="eastAsia"/>
                <w:b/>
                <w:bCs/>
                <w:sz w:val="21"/>
                <w:szCs w:val="21"/>
                <w:lang w:val="en-US" w:eastAsia="zh-CN"/>
              </w:rPr>
              <w:t>五、总结·回眸锚心向远行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b w:val="0"/>
                <w:bCs w:val="0"/>
                <w:sz w:val="21"/>
                <w:szCs w:val="21"/>
                <w:lang w:val="en-US" w:eastAsia="zh-CN"/>
              </w:rPr>
            </w:pPr>
            <w:r>
              <w:rPr>
                <w:rFonts w:hint="eastAsia"/>
                <w:b w:val="0"/>
                <w:bCs w:val="0"/>
                <w:sz w:val="21"/>
                <w:szCs w:val="21"/>
                <w:lang w:val="en-US" w:eastAsia="zh-CN"/>
              </w:rPr>
              <w:t>培育室领衔人谢攀老师进行总结：本学期将“评价”作为培育室研究的重点。首先，在课堂实践中要“评价先行”，听评课聚焦评价维度，学术研究则需关联评价。其次，要主动阅读与思考，积极探索人工智能与课堂评价的融合，强化评价的即时性与个性化。同时，要关注评价中的“人”，除了学业成绩的近中端、可视评价，更要在日常学习生活中关注学生必备品格等远端、隐性评价。在评价中激发学生语文学习的兴趣，点燃学生母语学习的热情，成为真正的学习者。最后，谢老师对成员们新学期的研究与发展提出真切期许：希望大家以此次研修为新起点，在评价实践中既做勤勉的“课堂工匠”，更成为智慧的“教育设计师”，让评价真正成为推动学生全面成长、教师专业进阶的澎湃动能。</w:t>
            </w:r>
          </w:p>
        </w:tc>
      </w:tr>
    </w:tbl>
    <w:p>
      <w:pPr>
        <w:rPr>
          <w:rFonts w:hint="eastAsia" w:eastAsia="宋体"/>
          <w:lang w:eastAsia="zh-CN"/>
        </w:rPr>
      </w:pPr>
      <w:r>
        <w:rPr>
          <w:rFonts w:hint="eastAsia" w:eastAsia="宋体"/>
          <w:lang w:eastAsia="zh-CN"/>
        </w:rPr>
        <w:drawing>
          <wp:inline distT="0" distB="0" distL="114300" distR="114300">
            <wp:extent cx="3509645" cy="2193290"/>
            <wp:effectExtent l="0" t="0" r="10795" b="1270"/>
            <wp:docPr id="1" name="图片 1" descr="QQ图片20250306222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图片20250306222538"/>
                    <pic:cNvPicPr>
                      <a:picLocks noChangeAspect="1"/>
                    </pic:cNvPicPr>
                  </pic:nvPicPr>
                  <pic:blipFill>
                    <a:blip r:embed="rId4"/>
                    <a:stretch>
                      <a:fillRect/>
                    </a:stretch>
                  </pic:blipFill>
                  <pic:spPr>
                    <a:xfrm>
                      <a:off x="0" y="0"/>
                      <a:ext cx="3509645" cy="2193290"/>
                    </a:xfrm>
                    <a:prstGeom prst="rect">
                      <a:avLst/>
                    </a:prstGeom>
                  </pic:spPr>
                </pic:pic>
              </a:graphicData>
            </a:graphic>
          </wp:inline>
        </w:drawing>
      </w:r>
    </w:p>
    <w:p>
      <w:pPr>
        <w:rPr>
          <w:rFonts w:hint="eastAsia" w:eastAsia="宋体"/>
          <w:lang w:eastAsia="zh-CN"/>
        </w:rPr>
      </w:pPr>
      <w:r>
        <w:rPr>
          <w:rFonts w:hint="eastAsia" w:eastAsia="宋体"/>
          <w:lang w:eastAsia="zh-CN"/>
        </w:rPr>
        <w:drawing>
          <wp:inline distT="0" distB="0" distL="114300" distR="114300">
            <wp:extent cx="3311525" cy="2069465"/>
            <wp:effectExtent l="0" t="0" r="10795" b="3175"/>
            <wp:docPr id="2" name="图片 2" descr="QQ图片20250306222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图片20250306222551"/>
                    <pic:cNvPicPr>
                      <a:picLocks noChangeAspect="1"/>
                    </pic:cNvPicPr>
                  </pic:nvPicPr>
                  <pic:blipFill>
                    <a:blip r:embed="rId5"/>
                    <a:stretch>
                      <a:fillRect/>
                    </a:stretch>
                  </pic:blipFill>
                  <pic:spPr>
                    <a:xfrm>
                      <a:off x="0" y="0"/>
                      <a:ext cx="3311525" cy="2069465"/>
                    </a:xfrm>
                    <a:prstGeom prst="rect">
                      <a:avLst/>
                    </a:prstGeom>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0NjYxNmVjN2IzMWYzYTZhZGVlMTQzYmNiNjU0MzkifQ=="/>
  </w:docVars>
  <w:rsids>
    <w:rsidRoot w:val="3733204E"/>
    <w:rsid w:val="01542BA0"/>
    <w:rsid w:val="021D7DD3"/>
    <w:rsid w:val="039321B2"/>
    <w:rsid w:val="07367B7E"/>
    <w:rsid w:val="08534388"/>
    <w:rsid w:val="0A3E54B7"/>
    <w:rsid w:val="0BB05B35"/>
    <w:rsid w:val="0D893AA0"/>
    <w:rsid w:val="13355841"/>
    <w:rsid w:val="14C61F6C"/>
    <w:rsid w:val="18324C3F"/>
    <w:rsid w:val="1DD44941"/>
    <w:rsid w:val="32756410"/>
    <w:rsid w:val="3733204E"/>
    <w:rsid w:val="3C7E562F"/>
    <w:rsid w:val="4A4970F0"/>
    <w:rsid w:val="4B330924"/>
    <w:rsid w:val="53117A1F"/>
    <w:rsid w:val="5C564AB3"/>
    <w:rsid w:val="602437C9"/>
    <w:rsid w:val="61A3723C"/>
    <w:rsid w:val="62621940"/>
    <w:rsid w:val="62CF4061"/>
    <w:rsid w:val="69DB32EB"/>
    <w:rsid w:val="718D2B11"/>
    <w:rsid w:val="77165720"/>
    <w:rsid w:val="77747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NOTE_Normal"/>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2609</Words>
  <Characters>2632</Characters>
  <Lines>0</Lines>
  <Paragraphs>0</Paragraphs>
  <TotalTime>0</TotalTime>
  <ScaleCrop>false</ScaleCrop>
  <LinksUpToDate>false</LinksUpToDate>
  <CharactersWithSpaces>2658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2024-06-13T06:06:00Z</dcterms:created>
  <dc:creator>嘻嘻嘻</dc:creator>
  <cp:lastModifiedBy>谢攀</cp:lastModifiedBy>
  <dcterms:modified xsi:type="dcterms:W3CDTF">2025-03-06T14:27:58Z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9BCDD8AB0BC64DDBABE5918240560DF1</vt:lpwstr>
  </property>
  <property fmtid="{D5CDD505-2E9C-101B-9397-08002B2CF9AE}" pid="4" name="KSOTemplateDocerSaveRecord">
    <vt:lpwstr>eyJoZGlkIjoiOGExNDZhZmY3MjExYzIzZDg5YmVjNjMxOGZjNzc4NTYiLCJ1c2VySWQiOiI0NDU3MjE5ODEifQ==</vt:lpwstr>
  </property>
</Properties>
</file>