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校园欺凌，远不止你想象的样子</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Style w:val="4"/>
                <w:rFonts w:hint="eastAsia" w:ascii="宋体" w:hAnsi="宋体" w:cs="宋体"/>
                <w:b w:val="0"/>
              </w:rPr>
              <w:t>小茗说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简书教育月刊</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校园欺凌的定义有很多描述，综合的说法是：一种长时间持续的、并对个人在心里造成恐惧、身体和言语遭受恶意的攻击，且因为受害者与欺凌者之间的权力或体型等因素不对等，而不敢有效地反抗。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根据手段我们大致可以将校园欺凌分为4个类别：言语欺凌、社交欺凌、身体欺凌和网络欺凌。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大多数人们对于校园欺凌的认知，仅停留在恶作剧、殴打等直观的行为上。其实，并非殴打辱骂、流血冲突这种有着强烈视觉冲击的行为才算得上是“暴力”，更多隐形的暴力行为在校园广泛存在着，并未引起人们足够的重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Style w:val="4"/>
                <w:rFonts w:hint="eastAsia" w:ascii="宋体" w:hAnsi="宋体" w:cs="宋体"/>
                <w:b w:val="0"/>
              </w:rPr>
            </w:pPr>
            <w:r>
              <w:rPr>
                <w:rFonts w:hint="eastAsia" w:eastAsia="宋体"/>
                <w:sz w:val="24"/>
                <w:lang w:eastAsia="zh-CN"/>
              </w:rPr>
              <w:t>真正能走入公众视野引起关注的，只是这些欺凌行为的一小部分（身体欺凌）。对于言语的攻击和社交的孤立，绝大多数时候，孩子们只能默默忍受。毕竟这两类欺凌行为难取证，也难界定。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eastAsia" w:eastAsia="宋体"/>
                <w:sz w:val="24"/>
                <w:lang w:eastAsia="zh-CN"/>
              </w:rPr>
            </w:pPr>
            <w:r>
              <w:rPr>
                <w:rFonts w:hint="eastAsia"/>
                <w:sz w:val="24"/>
                <w:lang w:val="en-US" w:eastAsia="zh-CN"/>
              </w:rPr>
              <w:t>校园欺凌是十分普遍的现象，</w:t>
            </w:r>
            <w:r>
              <w:rPr>
                <w:rFonts w:hint="eastAsia" w:eastAsia="宋体"/>
                <w:sz w:val="24"/>
                <w:lang w:eastAsia="zh-CN"/>
              </w:rPr>
              <w:t>在我们的学生时代，仿佛都有类似的一些人，因为家庭、身材、相貌或者其他因素，被排挤、嘲笑、恶作剧，而那时的我们，却并不觉得有什么不妥。但这何尝不是校园欺凌的一种呢？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9</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Pr>
        <w:sectPr>
          <w:pgSz w:w="11906" w:h="16838"/>
          <w:pgMar w:top="1440" w:right="1800" w:bottom="1440" w:left="1800" w:header="851" w:footer="992" w:gutter="0"/>
          <w:cols w:space="425" w:num="1"/>
          <w:docGrid w:type="lines" w:linePitch="312" w:charSpace="0"/>
        </w:sectPr>
      </w:pPr>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left"/>
              <w:rPr>
                <w:rFonts w:hint="eastAsia" w:ascii="宋体" w:hAnsi="宋体" w:cs="宋体"/>
                <w:sz w:val="24"/>
                <w:szCs w:val="24"/>
              </w:rPr>
            </w:pPr>
            <w:r>
              <w:rPr>
                <w:rFonts w:hint="eastAsia" w:ascii="宋体" w:hAnsi="宋体" w:cs="宋体"/>
                <w:sz w:val="24"/>
                <w:szCs w:val="24"/>
              </w:rPr>
              <w:t>浅谈农村中学校园欺凌现状及防治策略</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曹宏图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《中学教学参考》</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2019年第015期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笔者认为欺凌现象有两种表现形式：一种是直接欺凌，即教师与学生之间、学生与学生之间通过语言、肢体等直接激化矛盾，最终发生欺凌事件，如部分教师或学生在学校生活中，直接殴打其他学生，或是做出言语上的羞辱，或者通过网络渠道对其他学生做出侮辱行为，其恶意性给受欺凌学生造成心理上的创伤或身体上的伤害，主要表现为踢打、抢夺钱财、语言谩骂，甚至手持刀具威胁等;另一种是间接性欺凌，即有的学生借助中间人的语言或者行为，对要欺凌的对象进行攻击，从而造成被欺凌者受伤害，具体说来，就是借助第三方关系，对受欺凌者进行攻击，这里面包括恶意的语言煽动、刻意的挤兑或排挤、散播谣言、传话威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了解到校园欺凌的又一种分类方法。而遭受间接欺凌的受害者，在心理方面所受到的伤害，其程度远远大于遭受直接欺凌的受害者。不过无论通过何种形式，所有欺凌事件都会对每一个受欺凌的中学生身心健康成长带来难以估量的心理阴影和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12</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Pr>
        <w:sectPr>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B1173"/>
    <w:rsid w:val="18AB1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2022-06-26T06:52:00Z</dcterms:created>
  <dc:creator>明月如水</dc:creator>
  <cp:lastModifiedBy>明月如水</cp:lastModifiedBy>
  <dcterms:modified xsi:type="dcterms:W3CDTF">2022-06-26T06:53:27Z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AD3FD397C7A446A48FBED0CEF0C4DEF9</vt:lpwstr>
  </property>
</Properties>
</file>