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11AAD">
      <w:pPr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i w:val="0"/>
          <w:color w:val="000000"/>
          <w:sz w:val="24"/>
          <w:szCs w:val="24"/>
          <w:lang w:val="en-US" w:eastAsia="zh-CN"/>
        </w:rPr>
        <w:t>语言运用练习卷</w:t>
      </w:r>
    </w:p>
    <w:p w14:paraId="5887E607"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一、</w:t>
      </w:r>
      <w:r>
        <w:t>1．下面是“知与行”辩论赛的一辩部分辩词，请</w:t>
      </w:r>
      <w:bookmarkStart w:id="0" w:name="_GoBack"/>
      <w:bookmarkEnd w:id="0"/>
      <w:r>
        <w:t>你完成相关的任务。</w:t>
      </w:r>
    </w:p>
    <w:p w14:paraId="2F503459">
      <w:pPr>
        <w:shd w:val="clear" w:color="auto" w:fill="auto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我方主张</w:t>
      </w:r>
      <w:r>
        <w:rPr>
          <w:rFonts w:ascii="楷体" w:hAnsi="楷体" w:eastAsia="楷体" w:cs="楷体"/>
          <w:u w:val="single"/>
        </w:rPr>
        <w:t xml:space="preserve"> </w:t>
      </w:r>
      <w:r>
        <w:t>A</w:t>
      </w:r>
      <w:r>
        <w:rPr>
          <w:rFonts w:ascii="楷体" w:hAnsi="楷体" w:eastAsia="楷体" w:cs="楷体"/>
          <w:u w:val="single"/>
        </w:rPr>
        <w:t xml:space="preserve"> </w:t>
      </w:r>
      <w:r>
        <w:rPr>
          <w:rFonts w:ascii="楷体" w:hAnsi="楷体" w:eastAsia="楷体" w:cs="楷体"/>
        </w:rPr>
        <w:t>，理由如下：首先，</w:t>
      </w:r>
      <w:r>
        <w:rPr>
          <w:rFonts w:ascii="楷体" w:hAnsi="楷体" w:eastAsia="楷体" w:cs="楷体"/>
          <w:u w:val="single"/>
        </w:rPr>
        <w:t xml:space="preserve"> </w:t>
      </w:r>
      <w:r>
        <w:t>B</w:t>
      </w:r>
      <w:r>
        <w:rPr>
          <w:rFonts w:ascii="楷体" w:hAnsi="楷体" w:eastAsia="楷体" w:cs="楷体"/>
          <w:u w:val="single"/>
        </w:rPr>
        <w:t xml:space="preserve"> </w:t>
      </w:r>
      <w:r>
        <w:rPr>
          <w:rFonts w:ascii="楷体" w:hAnsi="楷体" w:eastAsia="楷体" w:cs="楷体"/>
        </w:rPr>
        <w:t>可见求知难哪！其次，辩证法告诉我们知行密切相关。人类的行是一个不断进步的过程，其中，知是关键。无知之行只是简单重复。有了知，才有了自觉行为；有了知，才有了开拓进取。</w:t>
      </w:r>
      <w:r>
        <w:rPr>
          <w:rFonts w:ascii="楷体" w:hAnsi="楷体" w:eastAsia="楷体" w:cs="楷体"/>
          <w:u w:val="single"/>
        </w:rPr>
        <w:t>知，作为行的总结、概括和认识，是行动的指南</w:t>
      </w:r>
      <w:r>
        <w:rPr>
          <w:rFonts w:ascii="楷体" w:hAnsi="楷体" w:eastAsia="楷体" w:cs="楷体"/>
        </w:rPr>
        <w:t>；掌握了行的知识和方法才会有成就。知，只有长期艰苦探索才会小有所成，因而知比行显得更难。再次，日常经验告诉我们，行之不易，归根到底是不知或知之不足；俗语说得好：“会者不难，难者不会。”说的就是这个道理。一旦掌握了行的知识和方法，行起来必然如庖丁解牛般游刃有余。</w:t>
      </w:r>
    </w:p>
    <w:p w14:paraId="0735FDEB">
      <w:pPr>
        <w:shd w:val="clear" w:color="auto" w:fill="auto"/>
        <w:spacing w:line="360" w:lineRule="auto"/>
        <w:jc w:val="left"/>
        <w:textAlignment w:val="center"/>
      </w:pPr>
      <w:r>
        <w:t>(1)根据辩词的内容，在横线A处补充正方的观点。</w:t>
      </w:r>
    </w:p>
    <w:p w14:paraId="2B0188DA">
      <w:pPr>
        <w:shd w:val="clear" w:color="auto" w:fill="auto"/>
        <w:spacing w:line="360" w:lineRule="auto"/>
        <w:jc w:val="left"/>
        <w:textAlignment w:val="center"/>
        <w:rPr>
          <w:rFonts w:ascii="楷体" w:hAnsi="楷体" w:eastAsia="楷体" w:cs="楷体"/>
          <w:u w:val="single"/>
        </w:rPr>
      </w:pPr>
      <w:r>
        <w:rPr>
          <w:rFonts w:ascii="楷体" w:hAnsi="楷体" w:eastAsia="楷体" w:cs="楷体"/>
          <w:u w:val="single"/>
        </w:rPr>
        <w:t xml:space="preserve"> </w:t>
      </w:r>
    </w:p>
    <w:p w14:paraId="5BD97784">
      <w:pPr>
        <w:shd w:val="clear" w:color="auto" w:fill="auto"/>
        <w:spacing w:line="360" w:lineRule="auto"/>
        <w:jc w:val="left"/>
        <w:textAlignment w:val="center"/>
      </w:pPr>
      <w:r>
        <w:t>(2)画线句存在语序不当的毛病。请你修改。</w:t>
      </w:r>
    </w:p>
    <w:p w14:paraId="003FCB6A">
      <w:pPr>
        <w:shd w:val="clear" w:color="auto" w:fill="auto"/>
        <w:spacing w:line="360" w:lineRule="auto"/>
        <w:jc w:val="left"/>
        <w:textAlignment w:val="center"/>
        <w:rPr>
          <w:rFonts w:ascii="楷体" w:hAnsi="楷体" w:eastAsia="楷体" w:cs="楷体"/>
          <w:u w:val="single"/>
        </w:rPr>
      </w:pPr>
      <w:r>
        <w:rPr>
          <w:rFonts w:ascii="楷体" w:hAnsi="楷体" w:eastAsia="楷体" w:cs="楷体"/>
          <w:u w:val="single"/>
        </w:rPr>
        <w:t xml:space="preserve"> </w:t>
      </w:r>
    </w:p>
    <w:p w14:paraId="51BCC760">
      <w:pPr>
        <w:shd w:val="clear" w:color="auto" w:fill="auto"/>
        <w:spacing w:line="360" w:lineRule="auto"/>
        <w:jc w:val="left"/>
        <w:textAlignment w:val="center"/>
      </w:pPr>
      <w:r>
        <w:t>(3)下面五句话，请你按照正确的顺序将它们放到文段B处（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201FE41">
      <w:pPr>
        <w:shd w:val="clear" w:color="auto" w:fill="auto"/>
        <w:spacing w:line="360" w:lineRule="auto"/>
        <w:jc w:val="left"/>
        <w:textAlignment w:val="center"/>
      </w:pPr>
      <w:r>
        <w:t>①人一生下来便会行，所谓：“手之，舞之，足之，蹈之。”</w:t>
      </w:r>
    </w:p>
    <w:p w14:paraId="18D6732E">
      <w:pPr>
        <w:shd w:val="clear" w:color="auto" w:fill="auto"/>
        <w:spacing w:line="360" w:lineRule="auto"/>
        <w:jc w:val="left"/>
        <w:textAlignment w:val="center"/>
      </w:pPr>
      <w:r>
        <w:t>②个人求知无穷尽，人类探索亦无止境。“钻之弥深，仰之弥坚。”</w:t>
      </w:r>
    </w:p>
    <w:p w14:paraId="2AD9831E">
      <w:pPr>
        <w:shd w:val="clear" w:color="auto" w:fill="auto"/>
        <w:spacing w:line="360" w:lineRule="auto"/>
        <w:jc w:val="left"/>
        <w:textAlignment w:val="center"/>
      </w:pPr>
      <w:r>
        <w:t>③但要成为像对方辩友那样才学渊博的翩翩君子，寒窗十年苦， 谈何容易。</w:t>
      </w:r>
    </w:p>
    <w:p w14:paraId="0F931AE7">
      <w:pPr>
        <w:shd w:val="clear" w:color="auto" w:fill="auto"/>
        <w:spacing w:line="360" w:lineRule="auto"/>
        <w:jc w:val="left"/>
        <w:textAlignment w:val="center"/>
      </w:pPr>
      <w:r>
        <w:t>④孔子他老人家到了晚年还坚持学习《易传》，韦编三绝。</w:t>
      </w:r>
    </w:p>
    <w:p w14:paraId="5814E0AF">
      <w:pPr>
        <w:shd w:val="clear" w:color="auto" w:fill="auto"/>
        <w:spacing w:line="360" w:lineRule="auto"/>
        <w:jc w:val="left"/>
        <w:textAlignment w:val="center"/>
      </w:pPr>
      <w:r>
        <w:t>⑤认识发生学告诉我们，行先知后。</w:t>
      </w:r>
    </w:p>
    <w:p w14:paraId="253700B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A．①③②⑤④</w:t>
      </w:r>
      <w:r>
        <w:tab/>
      </w:r>
      <w:r>
        <w:t>B．②③①④⑤</w:t>
      </w:r>
      <w:r>
        <w:tab/>
      </w:r>
      <w:r>
        <w:t>C．⑤①③②④</w:t>
      </w:r>
      <w:r>
        <w:tab/>
      </w:r>
      <w:r>
        <w:t>D．⑤④③①②</w:t>
      </w:r>
    </w:p>
    <w:p w14:paraId="62E7DD21">
      <w:pPr>
        <w:shd w:val="clear" w:color="auto" w:fill="auto"/>
        <w:spacing w:line="360" w:lineRule="auto"/>
        <w:jc w:val="left"/>
        <w:textAlignment w:val="center"/>
      </w:pPr>
      <w:r>
        <w:t>(4)针对正方的发言，请你为反方代表队，写一段辩词。（120字左右）</w:t>
      </w:r>
    </w:p>
    <w:p w14:paraId="152AB26B">
      <w:pPr>
        <w:shd w:val="clear" w:color="auto" w:fill="auto"/>
        <w:spacing w:line="360" w:lineRule="auto"/>
        <w:jc w:val="left"/>
        <w:textAlignment w:val="center"/>
      </w:pPr>
      <w:r>
        <w:t>小语同学收集到以下四则材料，请研读材料完成下面小题。</w:t>
      </w:r>
    </w:p>
    <w:p w14:paraId="14B7CF15">
      <w:pPr>
        <w:shd w:val="clear" w:color="auto" w:fill="auto"/>
        <w:spacing w:line="360" w:lineRule="auto"/>
        <w:jc w:val="left"/>
        <w:textAlignment w:val="center"/>
      </w:pPr>
      <w:r>
        <w:t>【材料1】</w:t>
      </w:r>
    </w:p>
    <w:p w14:paraId="019062AC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清嘉庆二年，常州知府胡观澜修茸大观楼，其高百尺有余，可尽览周边风光。</w:t>
      </w:r>
      <w:r>
        <w:t>“</w:t>
      </w:r>
      <w:r>
        <w:rPr>
          <w:rFonts w:ascii="楷体" w:hAnsi="楷体" w:eastAsia="楷体" w:cs="楷体"/>
        </w:rPr>
        <w:t>有图画不能尽，诚洋洋乎大观也哉。</w:t>
      </w:r>
      <w:r>
        <w:t>”</w:t>
      </w:r>
      <w:r>
        <w:rPr>
          <w:rFonts w:ascii="楷体" w:hAnsi="楷体" w:eastAsia="楷体" w:cs="楷体"/>
        </w:rPr>
        <w:t>大观楼民国初被毁，地方志中尚有简画存世。</w:t>
      </w:r>
    </w:p>
    <w:p w14:paraId="314CF8C7">
      <w:pPr>
        <w:shd w:val="clear" w:color="auto" w:fill="auto"/>
        <w:spacing w:line="360" w:lineRule="auto"/>
        <w:jc w:val="left"/>
        <w:textAlignment w:val="center"/>
      </w:pPr>
      <w:r>
        <w:t>【材料2】</w:t>
      </w:r>
    </w:p>
    <w:p w14:paraId="5B46AA3D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2023年10月8号，备受瞩目的常州大观楼复建项目签约启动。大观楼是常州历史上重要的园林景观建筑，项目重建将打造集城市景观、文化消费于一体的</w:t>
      </w:r>
      <w:r>
        <w:t>“</w:t>
      </w:r>
      <w:r>
        <w:rPr>
          <w:rFonts w:ascii="楷体" w:hAnsi="楷体" w:eastAsia="楷体" w:cs="楷体"/>
        </w:rPr>
        <w:t>新地标</w:t>
      </w:r>
      <w:r>
        <w:t>”</w:t>
      </w:r>
      <w:r>
        <w:rPr>
          <w:rFonts w:ascii="楷体" w:hAnsi="楷体" w:eastAsia="楷体" w:cs="楷体"/>
        </w:rPr>
        <w:t>。该项目将沿用大观楼原有建筑元素，</w:t>
      </w:r>
      <w:r>
        <w:t>“</w:t>
      </w:r>
      <w:r>
        <w:rPr>
          <w:rFonts w:ascii="楷体" w:hAnsi="楷体" w:eastAsia="楷体" w:cs="楷体"/>
        </w:rPr>
        <w:t>与古为新</w:t>
      </w:r>
      <w:r>
        <w:t>”，</w:t>
      </w:r>
      <w:r>
        <w:rPr>
          <w:rFonts w:ascii="楷体" w:hAnsi="楷体" w:eastAsia="楷体" w:cs="楷体"/>
        </w:rPr>
        <w:t>将古运河辉煌的大图景在当代城市空间中重现。为此，常州老城厢文旅空间布局将得以重塑。挖掘本市厚重历史文化资源，有利于创造文旅发展崭新模式，弘扬常州传统文化并保留历史文脉。</w:t>
      </w:r>
    </w:p>
    <w:p w14:paraId="18D4BD9A">
      <w:pPr>
        <w:shd w:val="clear" w:color="auto" w:fill="auto"/>
        <w:spacing w:line="360" w:lineRule="auto"/>
        <w:jc w:val="left"/>
        <w:textAlignment w:val="center"/>
      </w:pPr>
      <w:r>
        <w:t>2．有市民对常州要重建古建筑“大观楼”不理解，请你结合【材料2】内容，从重建意义角度完成下联，向该市民解释。</w:t>
      </w:r>
    </w:p>
    <w:p w14:paraId="7A2B13F1">
      <w:pPr>
        <w:shd w:val="clear" w:color="auto" w:fill="auto"/>
        <w:spacing w:line="360" w:lineRule="auto"/>
        <w:jc w:val="left"/>
        <w:textAlignment w:val="center"/>
        <w:rPr>
          <w:u w:val="single"/>
        </w:rPr>
      </w:pPr>
      <w:r>
        <w:t xml:space="preserve">上联： </w:t>
      </w:r>
      <w:r>
        <w:rPr>
          <w:u w:val="single"/>
        </w:rPr>
        <w:t xml:space="preserve"> </w:t>
      </w:r>
    </w:p>
    <w:p w14:paraId="3FB4C471">
      <w:pPr>
        <w:shd w:val="clear" w:color="auto" w:fill="auto"/>
        <w:spacing w:line="360" w:lineRule="auto"/>
        <w:jc w:val="left"/>
        <w:textAlignment w:val="center"/>
      </w:pPr>
      <w:r>
        <w:t>下联：复建大观楼园林景观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打造城市新地标</w:t>
      </w:r>
    </w:p>
    <w:p w14:paraId="3A16CE3C">
      <w:pPr>
        <w:shd w:val="clear" w:color="auto" w:fill="auto"/>
        <w:spacing w:line="360" w:lineRule="auto"/>
        <w:jc w:val="left"/>
        <w:textAlignment w:val="center"/>
      </w:pPr>
      <w:r>
        <w:t>【材料3】</w:t>
      </w:r>
    </w:p>
    <w:p w14:paraId="48E0A770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苏州拙政园借景周边的北寺塔，寄畅园借景近处的龙光塔，用视力范围内的美景 配合陪衬，成为了我国园林佳作。平遥以商贾文化见长，西安凭大唐出圈。莒国古城推介莒文化 展现文化魅力。</w:t>
      </w:r>
    </w:p>
    <w:p w14:paraId="3C08CA04">
      <w:pPr>
        <w:shd w:val="clear" w:color="auto" w:fill="auto"/>
        <w:spacing w:line="360" w:lineRule="auto"/>
        <w:jc w:val="left"/>
        <w:textAlignment w:val="center"/>
      </w:pPr>
      <w:r>
        <w:t>【材料4】</w:t>
      </w:r>
    </w:p>
    <w:p w14:paraId="4350C2D3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两则漫画</w:t>
      </w:r>
    </w:p>
    <w:p w14:paraId="0D48565B">
      <w:pPr>
        <w:shd w:val="clear" w:color="auto" w:fill="auto"/>
        <w:spacing w:line="360" w:lineRule="auto"/>
        <w:ind w:firstLine="560"/>
        <w:jc w:val="both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32100" cy="2230755"/>
            <wp:effectExtent l="0" t="0" r="0" b="4445"/>
            <wp:docPr id="100003" name="图片 100003" descr="@@@4446faac-4671-4a9c-a01f-a0e0dff4d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4446faac-4671-4a9c-a01f-a0e0dff4d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DAF5">
      <w:pPr>
        <w:shd w:val="clear" w:color="auto" w:fill="auto"/>
        <w:spacing w:line="360" w:lineRule="auto"/>
        <w:ind w:firstLine="560"/>
        <w:jc w:val="right"/>
        <w:textAlignment w:val="center"/>
      </w:pPr>
      <w:r>
        <w:t>（漫画一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《如此保护》）</w:t>
      </w:r>
    </w:p>
    <w:p w14:paraId="76D906A3">
      <w:pPr>
        <w:shd w:val="clear" w:color="auto" w:fill="auto"/>
        <w:spacing w:line="360" w:lineRule="auto"/>
        <w:ind w:firstLine="560"/>
        <w:jc w:val="both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83535" cy="1879600"/>
            <wp:effectExtent l="0" t="0" r="12065" b="0"/>
            <wp:docPr id="100005" name="图片 100005" descr="@@@39455f21-50c8-47af-90c7-442b93b76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9455f21-50c8-47af-90c7-442b93b76b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90DF">
      <w:pPr>
        <w:shd w:val="clear" w:color="auto" w:fill="auto"/>
        <w:spacing w:line="360" w:lineRule="auto"/>
        <w:jc w:val="right"/>
        <w:textAlignment w:val="center"/>
      </w:pPr>
      <w:r>
        <w:t>（漫画二 《假》）</w:t>
      </w:r>
    </w:p>
    <w:p w14:paraId="4EC39A0B">
      <w:pPr>
        <w:shd w:val="clear" w:color="auto" w:fill="auto"/>
        <w:spacing w:line="360" w:lineRule="auto"/>
        <w:jc w:val="left"/>
        <w:textAlignment w:val="center"/>
      </w:pPr>
      <w:r>
        <w:t>3．结合以上四则材料，就“大观楼”复建事项向建设部门提几条建议。</w:t>
      </w:r>
    </w:p>
    <w:p w14:paraId="611761AC">
      <w:pPr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71AD57C3">
      <w:pPr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DC655A5"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二、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66390" cy="1544320"/>
            <wp:effectExtent l="0" t="0" r="3810" b="5080"/>
            <wp:docPr id="100007" name="图片 100007" descr="@@@affc9275-34c2-464a-abdf-c8cd1e3d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affc9275-34c2-464a-abdf-c8cd1e3d8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6D41">
      <w:pPr>
        <w:shd w:val="clear" w:color="auto" w:fill="auto"/>
        <w:spacing w:line="360" w:lineRule="auto"/>
        <w:jc w:val="left"/>
        <w:textAlignment w:val="center"/>
      </w:pPr>
      <w:r>
        <w:t>4．沟通融洽有方法。小玄扫地不干净，你就“怎样和小玄有效沟通”与小武讨论。</w:t>
      </w:r>
    </w:p>
    <w:p w14:paraId="5ACC1FBA">
      <w:pPr>
        <w:shd w:val="clear" w:color="auto" w:fill="auto"/>
        <w:spacing w:line="360" w:lineRule="auto"/>
        <w:jc w:val="left"/>
        <w:textAlignment w:val="center"/>
      </w:pPr>
      <w:r>
        <w:t>你：小武，小玄扫地很不认真，我讲他几句，他竟然来情绪了。我怎样说，他才能接受呢？</w:t>
      </w:r>
    </w:p>
    <w:p w14:paraId="7E9157B0">
      <w:pPr>
        <w:shd w:val="clear" w:color="auto" w:fill="auto"/>
        <w:spacing w:line="360" w:lineRule="auto"/>
        <w:jc w:val="left"/>
        <w:textAlignment w:val="center"/>
      </w:pPr>
      <w:r>
        <w:t>小武：这种情况呀，我推荐你试一试“非暴力沟通”，小玄或许能接受你的建议。</w:t>
      </w:r>
    </w:p>
    <w:p w14:paraId="5FF88A6B">
      <w:pPr>
        <w:shd w:val="clear" w:color="auto" w:fill="auto"/>
        <w:spacing w:line="360" w:lineRule="auto"/>
        <w:jc w:val="left"/>
        <w:textAlignment w:val="center"/>
      </w:pPr>
      <w:r>
        <w:t>你：“非暴力沟通”有点复杂啊。什么叫“客观事实，不带偏见和评价？”什么又是“感受，而非观点和想法”呢？</w:t>
      </w:r>
    </w:p>
    <w:p w14:paraId="18CB5C8C">
      <w:pPr>
        <w:shd w:val="clear" w:color="auto" w:fill="auto"/>
        <w:spacing w:line="360" w:lineRule="auto"/>
        <w:jc w:val="left"/>
        <w:textAlignment w:val="center"/>
      </w:pPr>
      <w:r>
        <w:t>小武：举个例子说吧，假设你负责擦黑板，今天种种原因，你有两次未擦。我说“今天你两次没擦黑板”是客观事实，“你这人真不靠谱”是评价，“我觉得你什么事也干不了”是想法，“我对你的行为有点不满意”是感受。我看到的客观事实，我体会到的感受。</w:t>
      </w:r>
    </w:p>
    <w:p w14:paraId="54887ED6">
      <w:pPr>
        <w:shd w:val="clear" w:color="auto" w:fill="auto"/>
        <w:spacing w:line="360" w:lineRule="auto"/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t>你：谢谢你。我弄明白了“非暴力沟通”，我可以借助公式这样与小玄说“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   </w:t>
      </w:r>
      <w:r>
        <w:t>”。</w:t>
      </w:r>
    </w:p>
    <w:p w14:paraId="1B0A03AF"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三、</w:t>
      </w:r>
      <w:r>
        <w:t>材料一：</w:t>
      </w:r>
    </w:p>
    <w:p w14:paraId="20CE5713">
      <w:pPr>
        <w:shd w:val="clear" w:color="auto" w:fill="auto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9月，网络短剧《逃出大英博物馆》在各网络视频平台一上线就呈火爆状态。短剧主人公是一位由中华缠枝纹薄胎玉壶化身的古风少女。故事描述了她从大英博物馆出逃后的一段漫漫回国路。这一路让许多观众爱过、哭过，尤其是小玉壶对着国内的“同胞”文物，念她捎回的当年被掠走文物的家书的情节，令人印象深刻。</w:t>
      </w:r>
    </w:p>
    <w:p w14:paraId="4318AC13">
      <w:pPr>
        <w:shd w:val="clear" w:color="auto" w:fill="auto"/>
        <w:spacing w:line="360" w:lineRule="auto"/>
        <w:jc w:val="center"/>
        <w:textAlignment w:val="center"/>
      </w:pPr>
      <w:r>
        <w:rPr>
          <w:rFonts w:ascii="楷体" w:hAnsi="楷体" w:eastAsia="楷体" w:cs="楷体"/>
        </w:rPr>
        <w:t>《逃出大英博物馆》豆瓣主页</w:t>
      </w:r>
    </w:p>
    <w:p w14:paraId="1E37C7B3">
      <w:pPr>
        <w:shd w:val="clear" w:color="auto" w:fill="auto"/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57955" cy="1624965"/>
            <wp:effectExtent l="0" t="0" r="4445" b="635"/>
            <wp:docPr id="100009" name="图片 100009" descr="@@@38f4e6ac-75a4-497e-bb2d-3ec891498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38f4e6ac-75a4-497e-bb2d-3ec891498b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1E1F">
      <w:pPr>
        <w:shd w:val="clear" w:color="auto" w:fill="auto"/>
        <w:spacing w:line="360" w:lineRule="auto"/>
        <w:ind w:firstLine="420"/>
        <w:jc w:val="left"/>
        <w:textAlignment w:val="center"/>
      </w:pPr>
      <w:r>
        <w:t>材料二：</w:t>
      </w:r>
    </w:p>
    <w:p w14:paraId="6B21EC1E">
      <w:pPr>
        <w:shd w:val="clear" w:color="auto" w:fill="auto"/>
        <w:spacing w:line="360" w:lineRule="auto"/>
        <w:jc w:val="center"/>
        <w:textAlignment w:val="center"/>
      </w:pPr>
      <w:r>
        <w:rPr>
          <w:rFonts w:ascii="楷体" w:hAnsi="楷体" w:eastAsia="楷体" w:cs="楷体"/>
        </w:rPr>
        <w:t>网友的豆瓣留言</w:t>
      </w:r>
    </w:p>
    <w:p w14:paraId="018FFD86">
      <w:pPr>
        <w:shd w:val="clear" w:color="auto" w:fill="auto"/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66540" cy="1479550"/>
            <wp:effectExtent l="0" t="0" r="10160" b="6350"/>
            <wp:docPr id="100011" name="图片 100011" descr="@@@6d87cde0-3baa-45ce-9f18-f673b5be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6d87cde0-3baa-45ce-9f18-f673b5be13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A76B">
      <w:pPr>
        <w:shd w:val="clear" w:color="auto" w:fill="auto"/>
        <w:spacing w:line="360" w:lineRule="auto"/>
        <w:ind w:firstLine="420"/>
        <w:jc w:val="left"/>
        <w:textAlignment w:val="center"/>
      </w:pPr>
      <w:r>
        <w:t>材料三：</w:t>
      </w:r>
    </w:p>
    <w:p w14:paraId="798CB5A4">
      <w:pPr>
        <w:shd w:val="clear" w:color="auto" w:fill="auto"/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1300" cy="1301750"/>
            <wp:effectExtent l="0" t="0" r="0" b="6350"/>
            <wp:docPr id="100013" name="图片 100013" descr="@@@0dab1dd3-f717-4cc0-8a8a-788b4bd92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dab1dd3-f717-4cc0-8a8a-788b4bd927b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A3F6">
      <w:pPr>
        <w:shd w:val="clear" w:color="auto" w:fill="auto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短片中出现大量文物镜头，不少网友也围绕“小玉壶是文物吗?”展开讨论。其实，中华缠枝纹薄胎玉壶并不是文物，而是大英博物馆2017年通过正规渠道购买并收藏展出的现代艺术品。小玉壶的作者，苏州非遗传人俞挺先生说：“朋友告诉我，当时大英博物馆的工作人员找过来，在交流中提及，中国玉雕手艺失传，尤其是薄胎玉器见不到了。其实，现在恰恰是咱们玉器发展的顶峰时期，朋友就推荐了我的薄胎作品。看了作品图片后，他们决定收藏我的作品。”俞挺告诉记者，“我觉得外国人误会我们没有玉雕手艺，我要把作品展示到国际舞台，传播咱们的传统文化。”</w:t>
      </w:r>
    </w:p>
    <w:p w14:paraId="11172936">
      <w:pPr>
        <w:shd w:val="clear" w:color="auto" w:fill="auto"/>
        <w:spacing w:line="360" w:lineRule="auto"/>
        <w:ind w:firstLine="420"/>
        <w:jc w:val="right"/>
        <w:textAlignment w:val="center"/>
      </w:pPr>
      <w:r>
        <w:t>（选自《扬子晚报》2023年9月1日）</w:t>
      </w:r>
    </w:p>
    <w:p w14:paraId="06534D93">
      <w:pPr>
        <w:shd w:val="clear" w:color="auto" w:fill="auto"/>
        <w:spacing w:line="360" w:lineRule="auto"/>
        <w:ind w:firstLine="420"/>
        <w:jc w:val="left"/>
        <w:textAlignment w:val="center"/>
      </w:pPr>
      <w:r>
        <w:t>材料四：</w:t>
      </w:r>
    </w:p>
    <w:p w14:paraId="2E1BDC3B">
      <w:pPr>
        <w:shd w:val="clear" w:color="auto" w:fill="auto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今年1月以来，国家文物局与外交、海关等部门紧密合作，在我驻英国使馆大力支持下，克服疫情的不利影响，历时10个月，成功将流失英国25年的68件走私文物追索回国。这批文物的回归，为我国政府持续25年的跨国文物追索行动画上圆满句号。</w:t>
      </w:r>
    </w:p>
    <w:p w14:paraId="0F0895F3">
      <w:pPr>
        <w:shd w:val="clear" w:color="auto" w:fill="auto"/>
        <w:spacing w:line="360" w:lineRule="auto"/>
        <w:ind w:firstLine="420"/>
        <w:jc w:val="right"/>
        <w:textAlignment w:val="center"/>
      </w:pPr>
      <w:r>
        <w:t>（选自“新华视点”微博）</w:t>
      </w:r>
    </w:p>
    <w:p w14:paraId="079B334B">
      <w:pPr>
        <w:shd w:val="clear" w:color="auto" w:fill="auto"/>
        <w:spacing w:line="360" w:lineRule="auto"/>
        <w:jc w:val="left"/>
        <w:textAlignment w:val="center"/>
      </w:pPr>
      <w:r>
        <w:t>5．阅读“材料一”中的图片，概括《逃出大英博物馆》的“</w:t>
      </w:r>
      <w:r>
        <w:rPr>
          <w:em w:val="dot"/>
        </w:rPr>
        <w:t>豆瓣评分</w:t>
      </w:r>
      <w:r>
        <w:t>”情况。</w:t>
      </w:r>
    </w:p>
    <w:p w14:paraId="64981880">
      <w:pPr>
        <w:shd w:val="clear" w:color="auto" w:fill="auto"/>
        <w:spacing w:line="360" w:lineRule="auto"/>
        <w:jc w:val="left"/>
        <w:textAlignment w:val="center"/>
      </w:pPr>
    </w:p>
    <w:p w14:paraId="0106AED9">
      <w:pPr>
        <w:shd w:val="clear" w:color="auto" w:fill="auto"/>
        <w:spacing w:line="360" w:lineRule="auto"/>
        <w:jc w:val="left"/>
        <w:textAlignment w:val="center"/>
      </w:pPr>
    </w:p>
    <w:p w14:paraId="682AEBF3">
      <w:pPr>
        <w:shd w:val="clear" w:color="auto" w:fill="auto"/>
        <w:spacing w:line="360" w:lineRule="auto"/>
        <w:jc w:val="left"/>
        <w:textAlignment w:val="center"/>
      </w:pPr>
      <w:r>
        <w:t>6．根据“材料二”中网友的留言，简述这部网络小短剧火爆的原因。</w:t>
      </w:r>
    </w:p>
    <w:p w14:paraId="17D360B3">
      <w:pPr>
        <w:shd w:val="clear" w:color="auto" w:fill="auto"/>
        <w:spacing w:line="360" w:lineRule="auto"/>
        <w:jc w:val="left"/>
        <w:textAlignment w:val="center"/>
      </w:pPr>
    </w:p>
    <w:p w14:paraId="7C84D826">
      <w:pPr>
        <w:shd w:val="clear" w:color="auto" w:fill="auto"/>
        <w:spacing w:line="360" w:lineRule="auto"/>
        <w:jc w:val="left"/>
        <w:textAlignment w:val="center"/>
      </w:pPr>
    </w:p>
    <w:p w14:paraId="56E5F052">
      <w:pPr>
        <w:shd w:val="clear" w:color="auto" w:fill="auto"/>
        <w:spacing w:line="360" w:lineRule="auto"/>
        <w:jc w:val="left"/>
        <w:textAlignment w:val="center"/>
      </w:pPr>
      <w:r>
        <w:t>7．小苏说：材料一是小玉壶“逃回来”的荧幕故事，“材料三”是小玉壶“走出去”的幕后故事。这“一回”“一出”的反转，折射出的是国力变化。对此你有什么想法?请结合上述四则材料内容，在评论区写一则短评。（不少于30字）</w:t>
      </w:r>
    </w:p>
    <w:p w14:paraId="22274880">
      <w:pPr>
        <w:shd w:val="clear" w:color="auto" w:fill="auto"/>
        <w:spacing w:line="360" w:lineRule="auto"/>
        <w:jc w:val="center"/>
        <w:textAlignment w:val="center"/>
        <w:sectPr>
          <w:footerReference r:id="rId3" w:type="default"/>
          <w:footerReference r:id="rId4" w:type="even"/>
          <w:pgSz w:w="11907" w:h="16839"/>
          <w:pgMar w:top="760" w:right="1463" w:bottom="760" w:left="1463" w:header="851" w:footer="425" w:gutter="0"/>
          <w:cols w:space="425" w:num="1" w:sep="1"/>
          <w:docGrid w:type="lines" w:linePitch="312" w:charSpace="0"/>
        </w:sect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48100" cy="1781175"/>
            <wp:effectExtent l="0" t="0" r="0" b="9525"/>
            <wp:docPr id="100015" name="图片 100015" descr="@@@b1b6c9e3-570a-4bc2-adba-80163349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b1b6c9e3-570a-4bc2-adba-801633495b1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923B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 w14:paraId="617EA3DE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16F9332B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70BA557E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50291B99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151D25E7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095693DB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163B681A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32C8595C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4EC0AE6F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44A5415B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2EE2DB36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664B6DB0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703D61B5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7F66860A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436581F8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3201EB91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772F3CEC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7F8EEA84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3E6E33F9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49294D94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6D4B8E97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3CF087EE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40654950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531B2D93"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 w14:paraId="55E11970">
      <w:pPr>
        <w:shd w:val="clear" w:color="auto" w:fill="auto"/>
        <w:spacing w:line="360" w:lineRule="auto"/>
        <w:jc w:val="left"/>
        <w:textAlignment w:val="center"/>
        <w:rPr>
          <w:rFonts w:hint="default"/>
          <w:lang w:val="en-US" w:eastAsia="zh-CN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99925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65004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63F5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36127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7434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028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  <w:rsid w:val="616B725B"/>
    <w:rsid w:val="7B41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5029</Words>
  <Characters>5114</Characters>
  <Lines>0</Lines>
  <Paragraphs>0</Paragraphs>
  <TotalTime>2230</TotalTime>
  <ScaleCrop>false</ScaleCrop>
  <LinksUpToDate>false</LinksUpToDate>
  <CharactersWithSpaces>5179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刘小兔儿</cp:lastModifiedBy>
  <dcterms:modified xsi:type="dcterms:W3CDTF">2024-12-13T00:27:43Z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bfe1042a1fab4c74acb1ab7b13d8ad6amtk5mzu3mzixna</vt:lpwstr>
  </property>
  <property fmtid="{D5CDD505-2E9C-101B-9397-08002B2CF9AE}" pid="4" name="KSOProductBuildVer">
    <vt:lpwstr>2052-12.1.0.19302</vt:lpwstr>
  </property>
  <property fmtid="{D5CDD505-2E9C-101B-9397-08002B2CF9AE}" pid="5" name="ICV">
    <vt:lpwstr>5BF1A1D5BDCD49CFA5AE445D376C06F0_12</vt:lpwstr>
  </property>
</Properties>
</file>