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4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left"/>
              <w:rPr>
                <w:rFonts w:hint="eastAsia" w:ascii="宋体" w:hAnsi="宋体" w:cs="宋体"/>
                <w:sz w:val="24"/>
                <w:szCs w:val="24"/>
              </w:rPr>
            </w:pPr>
            <w:r>
              <w:rPr>
                <w:rFonts w:hint="eastAsia" w:ascii="宋体" w:hAnsi="宋体" w:cs="宋体"/>
                <w:sz w:val="24"/>
                <w:szCs w:val="24"/>
              </w:rPr>
              <w:t>农村中学校园欺凌现象及应对策略</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刘云水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教育周报·教育论坛</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2020年3期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学校因素</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有关专家学者研究认为，形成乡村校园欺凌的学校因素包括以下方面：</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1）、学校在贯彻国家的教育方针方面措施不到位，一定程度上忽视了对学生的综合素质教育。</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2）、乡村学生中存在着盲目攀比的消费观，教师对学生的个别化教育重视不够。</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3）、乡村学校教育内容缺乏吸引力，片面重视学业成绩，致使某些学生产生挫折感而寻找发泄的目标。</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4）、教师之间、师生之间、学校与家庭之间的沟通渠道不畅。</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ascii="宋体" w:hAnsi="宋体" w:cs="宋体"/>
                <w:b w:val="0"/>
              </w:rPr>
              <w:t>5）、学校对乡村学生在成长过程中产生的暴力倾向疏导不力，对已经具有行为偏差的学生缺乏矫正办法，对侵害他人的校园欺凌事件处理不及时。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eastAsia" w:eastAsia="宋体"/>
                <w:sz w:val="24"/>
                <w:lang w:eastAsia="zh-CN"/>
              </w:rPr>
            </w:pPr>
            <w:r>
              <w:rPr>
                <w:rFonts w:hint="eastAsia" w:eastAsia="宋体"/>
                <w:sz w:val="24"/>
                <w:lang w:eastAsia="zh-CN"/>
              </w:rPr>
              <w:t>家庭、学校、社会都积极对广大青少年开展理想教育，让青少年从小确立正确的人生理想，树立正确的人生观和世界观。家长是孩子的第一任老师，在这个方面的作用尤其重要。学校作为教育主阵地，要将理想教育作为德育工作的重要内容，并将理想教育渗透到各学科的教学过程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倪翔</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3</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Pr>
        <w:sectPr>
          <w:pgSz w:w="11906" w:h="16838"/>
          <w:pgMar w:top="1440" w:right="1800" w:bottom="1440" w:left="1800" w:header="851" w:footer="992" w:gutter="0"/>
          <w:cols w:space="425" w:num="1"/>
          <w:docGrid w:type="lines" w:linePitch="312" w:charSpace="0"/>
        </w:sectPr>
      </w:pPr>
    </w:p>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41"/>
        <w:gridCol w:w="15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left"/>
              <w:rPr>
                <w:rFonts w:hint="eastAsia" w:ascii="宋体" w:hAnsi="宋体" w:cs="宋体"/>
                <w:sz w:val="24"/>
                <w:szCs w:val="24"/>
              </w:rPr>
            </w:pPr>
            <w:r>
              <w:rPr>
                <w:rFonts w:hint="eastAsia" w:ascii="宋体" w:hAnsi="宋体" w:cs="宋体"/>
                <w:sz w:val="24"/>
                <w:szCs w:val="24"/>
              </w:rPr>
              <w:t>校园欺凌背后的学校管理缺失与应对思考</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谢凤梅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校园英语·上旬</w:t>
            </w: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2"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21"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2" w:type="dxa"/>
            <w:vAlign w:val="center"/>
          </w:tcPr>
          <w:p>
            <w:pPr>
              <w:jc w:val="center"/>
              <w:rPr>
                <w:rFonts w:hint="eastAsia" w:ascii="宋体" w:hAnsi="宋体" w:cs="宋体"/>
                <w:sz w:val="24"/>
                <w:szCs w:val="24"/>
              </w:rPr>
            </w:pPr>
            <w:r>
              <w:rPr>
                <w:rFonts w:hint="eastAsia" w:ascii="宋体" w:hAnsi="宋体" w:cs="宋体"/>
                <w:sz w:val="24"/>
                <w:szCs w:val="24"/>
              </w:rPr>
              <w:t xml:space="preserve">2018年8期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71"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初中学校出台有效预防校园欺凌的实施举措。</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首先，加强初中生的反欺凌心理健康教育。主要内容包括知识教育、态度教育和社交能力教育。例如，在知识教育方面，普及什么是校园欺凌、欺凌的危害及后果以及学校的反欺凌政策等。例如，在态度教育方面，倡导包容与无偏见的态度、合作意识与同理心、自我接纳意识。例如，社交能力教育方面，培育学生社交自信、情绪管理能力和冲突解决技巧等。反校园欺凌内容应与平时的课堂教育相融合，使之常态化，可采用戏剧（角色表演）、文学阅读、短视频、音乐和辩论赛等多种形式。</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ascii="宋体" w:hAnsi="宋体" w:cs="宋体"/>
                <w:b w:val="0"/>
              </w:rPr>
              <w:t>其次，加强日常监督。一是，加强校园安保措施，如增加校园欺凌多发点（厕所、走廊）的监控设置，以加强对多发地点和多发时段（课间、放学后）的监控。二是，应建立完善的欺凌报告和记录制度，设立举报奖励制度，对“问题学生”重点关注，对受害者进行心理辅导和长期跟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eastAsia"/>
                <w:sz w:val="24"/>
                <w:lang w:val="en-US" w:eastAsia="zh-CN"/>
              </w:rPr>
              <w:t>学校层面出台相关软硬件实施举措是防止校园欺凌的重要保障，也是必要措施。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倪翔</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4</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Pr>
        <w:sectPr>
          <w:pgSz w:w="11906" w:h="16838"/>
          <w:pgMar w:top="1440" w:right="1800" w:bottom="1440" w:left="1800" w:header="851" w:footer="992" w:gutter="0"/>
          <w:cols w:space="425" w:num="1"/>
          <w:docGrid w:type="lines" w:linePitch="312" w:charSpace="0"/>
        </w:sectPr>
      </w:pPr>
    </w:p>
    <w:tbl>
      <w:tblPr>
        <w:tblStyle w:val="2"/>
        <w:tblW w:w="89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4"/>
        <w:gridCol w:w="1431"/>
        <w:gridCol w:w="3328"/>
        <w:gridCol w:w="135"/>
        <w:gridCol w:w="1280"/>
        <w:gridCol w:w="239"/>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资料</w:t>
            </w:r>
          </w:p>
          <w:p>
            <w:pPr>
              <w:jc w:val="center"/>
              <w:rPr>
                <w:rFonts w:ascii="宋体" w:hAnsi="宋体" w:cs="宋体"/>
                <w:sz w:val="24"/>
              </w:rPr>
            </w:pPr>
            <w:r>
              <w:rPr>
                <w:rFonts w:hint="eastAsia" w:ascii="宋体" w:hAnsi="宋体" w:cs="宋体"/>
                <w:sz w:val="28"/>
              </w:rPr>
              <w:t>来源</w:t>
            </w: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题目</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浅谈青少年校园欺凌</w:t>
            </w:r>
          </w:p>
        </w:tc>
        <w:tc>
          <w:tcPr>
            <w:tcW w:w="1519" w:type="dxa"/>
            <w:gridSpan w:val="2"/>
            <w:vAlign w:val="center"/>
          </w:tcPr>
          <w:p>
            <w:pPr>
              <w:jc w:val="center"/>
              <w:rPr>
                <w:rFonts w:hint="eastAsia" w:ascii="宋体" w:hAnsi="宋体" w:cs="宋体"/>
                <w:sz w:val="24"/>
                <w:szCs w:val="24"/>
              </w:rPr>
            </w:pPr>
            <w:r>
              <w:rPr>
                <w:rFonts w:hint="eastAsia" w:ascii="宋体" w:hAnsi="宋体" w:cs="宋体"/>
                <w:sz w:val="24"/>
                <w:szCs w:val="24"/>
              </w:rPr>
              <w:t>作者</w:t>
            </w:r>
          </w:p>
        </w:tc>
        <w:tc>
          <w:tcPr>
            <w:tcW w:w="1504" w:type="dxa"/>
            <w:vAlign w:val="center"/>
          </w:tcPr>
          <w:p>
            <w:pPr>
              <w:jc w:val="center"/>
              <w:rPr>
                <w:rFonts w:hint="eastAsia" w:ascii="宋体" w:hAnsi="宋体" w:cs="宋体"/>
                <w:sz w:val="24"/>
                <w:szCs w:val="24"/>
              </w:rPr>
            </w:pPr>
            <w:r>
              <w:rPr>
                <w:rFonts w:hint="eastAsia" w:ascii="宋体" w:hAnsi="宋体" w:cs="宋体"/>
                <w:sz w:val="24"/>
                <w:szCs w:val="24"/>
              </w:rPr>
              <w:t>张师瑜</w:t>
            </w:r>
          </w:p>
          <w:p>
            <w:pPr>
              <w:jc w:val="center"/>
              <w:rPr>
                <w:rFonts w:hint="eastAsia" w:ascii="宋体" w:hAnsi="宋体" w:cs="宋体"/>
                <w:sz w:val="24"/>
                <w:szCs w:val="24"/>
              </w:rPr>
            </w:pPr>
            <w:r>
              <w:rPr>
                <w:rFonts w:hint="eastAsia" w:ascii="宋体" w:hAnsi="宋体" w:cs="宋体"/>
                <w:sz w:val="24"/>
                <w:szCs w:val="24"/>
              </w:rPr>
              <w:t>管璐瑶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书名</w:t>
            </w:r>
          </w:p>
        </w:tc>
        <w:tc>
          <w:tcPr>
            <w:tcW w:w="3463" w:type="dxa"/>
            <w:gridSpan w:val="2"/>
            <w:vAlign w:val="center"/>
          </w:tcPr>
          <w:p>
            <w:pPr>
              <w:jc w:val="center"/>
              <w:rPr>
                <w:rFonts w:hint="eastAsia" w:ascii="宋体" w:hAnsi="宋体" w:cs="宋体"/>
                <w:sz w:val="24"/>
                <w:szCs w:val="24"/>
              </w:rPr>
            </w:pPr>
            <w:r>
              <w:rPr>
                <w:rFonts w:hint="eastAsia" w:ascii="宋体" w:hAnsi="宋体" w:cs="宋体"/>
                <w:sz w:val="24"/>
                <w:szCs w:val="24"/>
              </w:rPr>
              <w:t>法制与社会</w:t>
            </w:r>
          </w:p>
        </w:tc>
        <w:tc>
          <w:tcPr>
            <w:tcW w:w="1519" w:type="dxa"/>
            <w:gridSpan w:val="2"/>
            <w:vAlign w:val="center"/>
          </w:tcPr>
          <w:p>
            <w:pPr>
              <w:jc w:val="center"/>
              <w:rPr>
                <w:rFonts w:hint="eastAsia" w:ascii="宋体" w:hAnsi="宋体" w:cs="宋体"/>
                <w:sz w:val="24"/>
                <w:szCs w:val="24"/>
              </w:rPr>
            </w:pPr>
            <w:r>
              <w:rPr>
                <w:rFonts w:hint="eastAsia" w:ascii="宋体" w:hAnsi="宋体" w:cs="宋体"/>
                <w:sz w:val="24"/>
                <w:szCs w:val="24"/>
              </w:rPr>
              <w:t>版别</w:t>
            </w:r>
          </w:p>
        </w:tc>
        <w:tc>
          <w:tcPr>
            <w:tcW w:w="1504" w:type="dxa"/>
            <w:vAlign w:val="center"/>
          </w:tcPr>
          <w:p>
            <w:pPr>
              <w:jc w:val="center"/>
              <w:rPr>
                <w:rFonts w:hint="eastAsia"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hint="eastAsia" w:ascii="宋体" w:hAnsi="宋体" w:cs="宋体"/>
                <w:sz w:val="24"/>
                <w:szCs w:val="24"/>
              </w:rPr>
            </w:pPr>
            <w:r>
              <w:rPr>
                <w:rFonts w:hint="eastAsia" w:ascii="宋体" w:hAnsi="宋体" w:cs="宋体"/>
                <w:sz w:val="24"/>
                <w:szCs w:val="24"/>
              </w:rPr>
              <w:t>报刊号</w:t>
            </w:r>
          </w:p>
        </w:tc>
        <w:tc>
          <w:tcPr>
            <w:tcW w:w="3463" w:type="dxa"/>
            <w:gridSpan w:val="2"/>
            <w:vAlign w:val="center"/>
          </w:tcPr>
          <w:p>
            <w:pPr>
              <w:jc w:val="center"/>
              <w:rPr>
                <w:rFonts w:hint="eastAsia" w:ascii="宋体" w:hAnsi="宋体" w:cs="宋体"/>
                <w:sz w:val="24"/>
                <w:szCs w:val="24"/>
              </w:rPr>
            </w:pPr>
          </w:p>
        </w:tc>
        <w:tc>
          <w:tcPr>
            <w:tcW w:w="1519" w:type="dxa"/>
            <w:gridSpan w:val="2"/>
            <w:vAlign w:val="center"/>
          </w:tcPr>
          <w:p>
            <w:pPr>
              <w:jc w:val="center"/>
              <w:rPr>
                <w:rFonts w:hint="eastAsia" w:ascii="宋体" w:hAnsi="宋体" w:cs="宋体"/>
                <w:sz w:val="24"/>
                <w:szCs w:val="24"/>
              </w:rPr>
            </w:pPr>
            <w:r>
              <w:rPr>
                <w:rFonts w:hint="eastAsia" w:ascii="宋体" w:hAnsi="宋体" w:cs="宋体"/>
                <w:sz w:val="24"/>
                <w:szCs w:val="24"/>
              </w:rPr>
              <w:t>期次</w:t>
            </w:r>
          </w:p>
        </w:tc>
        <w:tc>
          <w:tcPr>
            <w:tcW w:w="1504" w:type="dxa"/>
            <w:vAlign w:val="center"/>
          </w:tcPr>
          <w:p>
            <w:pPr>
              <w:jc w:val="center"/>
              <w:rPr>
                <w:rFonts w:hint="eastAsia" w:ascii="宋体" w:hAnsi="宋体" w:cs="宋体"/>
                <w:sz w:val="24"/>
                <w:szCs w:val="24"/>
              </w:rPr>
            </w:pPr>
            <w:r>
              <w:rPr>
                <w:rFonts w:hint="eastAsia" w:ascii="宋体" w:hAnsi="宋体" w:cs="宋体"/>
                <w:sz w:val="24"/>
                <w:szCs w:val="24"/>
              </w:rPr>
              <w:t xml:space="preserve"> 2019年19期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27" w:hRule="atLeast"/>
          <w:jc w:val="center"/>
        </w:trPr>
        <w:tc>
          <w:tcPr>
            <w:tcW w:w="1064" w:type="dxa"/>
            <w:vAlign w:val="center"/>
          </w:tcPr>
          <w:p>
            <w:pPr>
              <w:jc w:val="center"/>
              <w:rPr>
                <w:rFonts w:ascii="宋体" w:hAnsi="宋体" w:cs="宋体"/>
                <w:sz w:val="28"/>
              </w:rPr>
            </w:pPr>
            <w:r>
              <w:rPr>
                <w:rFonts w:hint="eastAsia" w:ascii="宋体" w:hAnsi="宋体" w:cs="宋体"/>
                <w:sz w:val="28"/>
              </w:rPr>
              <w:t>文</w:t>
            </w:r>
          </w:p>
          <w:p>
            <w:pPr>
              <w:jc w:val="center"/>
              <w:rPr>
                <w:rFonts w:ascii="宋体" w:hAnsi="宋体" w:cs="宋体"/>
                <w:sz w:val="28"/>
              </w:rPr>
            </w:pPr>
            <w:r>
              <w:rPr>
                <w:rFonts w:hint="eastAsia" w:ascii="宋体" w:hAnsi="宋体" w:cs="宋体"/>
                <w:sz w:val="28"/>
              </w:rPr>
              <w:t>章</w:t>
            </w:r>
          </w:p>
          <w:p>
            <w:pPr>
              <w:jc w:val="center"/>
              <w:rPr>
                <w:rFonts w:ascii="宋体" w:hAnsi="宋体" w:cs="宋体"/>
                <w:sz w:val="28"/>
              </w:rPr>
            </w:pPr>
            <w:r>
              <w:rPr>
                <w:rFonts w:hint="eastAsia" w:ascii="宋体" w:hAnsi="宋体" w:cs="宋体"/>
                <w:sz w:val="28"/>
              </w:rPr>
              <w:t>要</w:t>
            </w:r>
          </w:p>
          <w:p>
            <w:pPr>
              <w:jc w:val="center"/>
              <w:rPr>
                <w:rFonts w:ascii="宋体" w:hAnsi="宋体" w:cs="宋体"/>
                <w:sz w:val="28"/>
              </w:rPr>
            </w:pPr>
            <w:r>
              <w:rPr>
                <w:rFonts w:hint="eastAsia" w:ascii="宋体" w:hAnsi="宋体" w:cs="宋体"/>
                <w:sz w:val="28"/>
              </w:rPr>
              <w:t>点</w:t>
            </w:r>
          </w:p>
          <w:p>
            <w:pPr>
              <w:jc w:val="center"/>
              <w:rPr>
                <w:rFonts w:ascii="宋体" w:hAnsi="宋体" w:cs="宋体"/>
                <w:sz w:val="28"/>
              </w:rPr>
            </w:pPr>
            <w:r>
              <w:rPr>
                <w:rFonts w:hint="eastAsia" w:ascii="宋体" w:hAnsi="宋体" w:cs="宋体"/>
                <w:sz w:val="28"/>
              </w:rPr>
              <w:t>摘</w:t>
            </w:r>
          </w:p>
          <w:p>
            <w:pPr>
              <w:jc w:val="center"/>
              <w:rPr>
                <w:rFonts w:ascii="宋体" w:hAnsi="宋体" w:cs="宋体"/>
                <w:sz w:val="28"/>
              </w:rPr>
            </w:pPr>
            <w:r>
              <w:rPr>
                <w:rFonts w:hint="eastAsia" w:ascii="宋体" w:hAnsi="宋体" w:cs="宋体"/>
                <w:sz w:val="28"/>
              </w:rPr>
              <w:t>录</w:t>
            </w:r>
          </w:p>
        </w:tc>
        <w:tc>
          <w:tcPr>
            <w:tcW w:w="7917" w:type="dxa"/>
            <w:gridSpan w:val="6"/>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b w:val="0"/>
                <w:bCs w:val="0"/>
                <w:sz w:val="21"/>
                <w:szCs w:val="21"/>
                <w:shd w:val="clear" w:color="auto" w:fill="FFFFFF"/>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r>
              <w:rPr>
                <w:rStyle w:val="4"/>
                <w:rFonts w:hint="eastAsia" w:ascii="宋体" w:hAnsi="宋体" w:cs="宋体"/>
                <w:b w:val="0"/>
              </w:rPr>
              <w:t>学校道德与法治教育的缺失</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hint="eastAsia" w:ascii="宋体" w:hAnsi="宋体" w:cs="宋体"/>
                <w:b w:val="0"/>
              </w:rPr>
            </w:pP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Style w:val="4"/>
                <w:rFonts w:ascii="宋体" w:hAnsi="宋体" w:cs="宋体"/>
                <w:b w:val="0"/>
              </w:rPr>
            </w:pPr>
            <w:r>
              <w:rPr>
                <w:rStyle w:val="4"/>
                <w:rFonts w:hint="eastAsia" w:ascii="宋体" w:hAnsi="宋体" w:cs="宋体"/>
                <w:b w:val="0"/>
              </w:rPr>
              <w:t>学生们之间因校园生活发生小矛盾时，并未积极选择向教师进行相关求助，而是试图寻找同伙对其进行校园欺凌行为，通过暴力威胁等残忍手段来获得满足感。通过这些现象，反映出学校里对师生道德与法治教育的缺失，校园里的学生们往往选择较为极端的方法去解决纠纷矛盾。当同学们出现分歧矛盾时，寻求教师与家长的帮助和开导一般是第一选择，教师是校园内解决学生冲突纠纷的主体。可是在现实情况中，学校重智育轻德育，重视文化知识，轻道德与法治教育，开展大量的文化知识课程，这不利于青少年法律意识的培养和健康人格的养成。受害者不会使用法律的武器来保护自己，更多的是选择沉默。在应试教育的影响下，学校里的教师的教学与考勤任务已经很繁重，很难全身心去投入到学生的心理辅导工作中。教师与学生们的沟通大多停留在学习成绩上，缺乏与学生们进行人际沟通与自我保护的教育。教师对校园欺凌行为的态度直接影响了学生之间欺凌行为发生的频率。因为校园里缺乏专门调解纠纷的教师，所以学生大多会采取自己的方法去解决问题。因为缺乏相关的教育，很多学生会选择校园欺凌去解决矛盾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jc w:val="center"/>
        </w:trPr>
        <w:tc>
          <w:tcPr>
            <w:tcW w:w="1064" w:type="dxa"/>
            <w:vAlign w:val="center"/>
          </w:tcPr>
          <w:p>
            <w:pPr>
              <w:jc w:val="center"/>
              <w:rPr>
                <w:rFonts w:ascii="宋体" w:hAnsi="宋体" w:cs="宋体"/>
                <w:sz w:val="28"/>
              </w:rPr>
            </w:pPr>
            <w:r>
              <w:rPr>
                <w:rFonts w:hint="eastAsia" w:ascii="宋体" w:hAnsi="宋体" w:cs="宋体"/>
                <w:sz w:val="28"/>
              </w:rPr>
              <w:t>体</w:t>
            </w:r>
          </w:p>
          <w:p>
            <w:pPr>
              <w:jc w:val="center"/>
              <w:rPr>
                <w:rFonts w:ascii="宋体" w:hAnsi="宋体" w:cs="宋体"/>
                <w:sz w:val="28"/>
              </w:rPr>
            </w:pPr>
            <w:r>
              <w:rPr>
                <w:rFonts w:hint="eastAsia" w:ascii="宋体" w:hAnsi="宋体" w:cs="宋体"/>
                <w:sz w:val="28"/>
              </w:rPr>
              <w:t>会</w:t>
            </w:r>
          </w:p>
        </w:tc>
        <w:tc>
          <w:tcPr>
            <w:tcW w:w="7917" w:type="dxa"/>
            <w:gridSpan w:val="6"/>
            <w:vAlign w:val="center"/>
          </w:tcPr>
          <w:p>
            <w:pPr>
              <w:ind w:firstLine="480" w:firstLineChars="200"/>
              <w:jc w:val="both"/>
              <w:rPr>
                <w:rFonts w:hint="default" w:eastAsia="宋体"/>
                <w:sz w:val="24"/>
                <w:lang w:val="en-US" w:eastAsia="zh-CN"/>
              </w:rPr>
            </w:pPr>
            <w:r>
              <w:rPr>
                <w:rFonts w:hint="default" w:eastAsia="宋体"/>
                <w:sz w:val="24"/>
                <w:lang w:val="en-US" w:eastAsia="zh-CN"/>
              </w:rPr>
              <w:t>学校应多开展道德和法治专题讲座，通过大量道德和法治教育，学生们懂得用法律的武器来保护自己，进行维权，并且知道解决与学生们之间的纠纷矛盾时，向教师们求助是首选的解决办法，从而形成良好安全的校园法治环境。</w:t>
            </w:r>
          </w:p>
          <w:p>
            <w:pPr>
              <w:ind w:firstLine="480" w:firstLineChars="200"/>
              <w:jc w:val="both"/>
              <w:rPr>
                <w:rFonts w:hint="default" w:eastAsia="宋体"/>
                <w:sz w:val="24"/>
                <w:lang w:val="en-US" w:eastAsia="zh-CN"/>
              </w:rPr>
            </w:pPr>
            <w:r>
              <w:rPr>
                <w:rFonts w:hint="default" w:eastAsia="宋体"/>
                <w:sz w:val="24"/>
                <w:lang w:val="en-US" w:eastAsia="zh-CN"/>
              </w:rPr>
              <w:t>教师是预防，发现和熄灭校园欺凌事件的有效主体，对教师开展预防，发现和解决校园欺凌的教育培训，做到不仅关心学生们的学习成绩，更要重视学生们心智的健康成长。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restart"/>
            <w:vAlign w:val="center"/>
          </w:tcPr>
          <w:p>
            <w:pPr>
              <w:jc w:val="center"/>
              <w:rPr>
                <w:rFonts w:ascii="宋体" w:hAnsi="宋体" w:cs="宋体"/>
                <w:sz w:val="28"/>
              </w:rPr>
            </w:pPr>
            <w:r>
              <w:rPr>
                <w:rFonts w:hint="eastAsia" w:ascii="宋体" w:hAnsi="宋体" w:cs="宋体"/>
                <w:sz w:val="28"/>
              </w:rPr>
              <w:t>摘记人</w:t>
            </w:r>
          </w:p>
          <w:p>
            <w:pPr>
              <w:jc w:val="center"/>
              <w:rPr>
                <w:rFonts w:ascii="宋体" w:hAnsi="宋体" w:cs="宋体"/>
                <w:sz w:val="24"/>
              </w:rPr>
            </w:pPr>
            <w:r>
              <w:rPr>
                <w:rFonts w:hint="eastAsia" w:ascii="宋体" w:hAnsi="宋体" w:cs="宋体"/>
                <w:sz w:val="28"/>
              </w:rPr>
              <w:t>情况</w:t>
            </w:r>
          </w:p>
        </w:tc>
        <w:tc>
          <w:tcPr>
            <w:tcW w:w="1431" w:type="dxa"/>
            <w:vAlign w:val="center"/>
          </w:tcPr>
          <w:p>
            <w:pPr>
              <w:jc w:val="center"/>
              <w:rPr>
                <w:rFonts w:ascii="宋体" w:hAnsi="宋体" w:cs="宋体"/>
                <w:sz w:val="24"/>
                <w:szCs w:val="24"/>
              </w:rPr>
            </w:pPr>
            <w:r>
              <w:rPr>
                <w:rFonts w:hint="eastAsia" w:ascii="宋体" w:hAnsi="宋体" w:cs="宋体"/>
                <w:sz w:val="24"/>
                <w:szCs w:val="24"/>
              </w:rPr>
              <w:t>姓  名</w:t>
            </w:r>
          </w:p>
        </w:tc>
        <w:tc>
          <w:tcPr>
            <w:tcW w:w="3328" w:type="dxa"/>
            <w:vAlign w:val="center"/>
          </w:tcPr>
          <w:p>
            <w:pPr>
              <w:jc w:val="center"/>
              <w:rPr>
                <w:rFonts w:hint="eastAsia" w:ascii="宋体" w:hAnsi="宋体" w:eastAsia="宋体" w:cs="宋体"/>
                <w:sz w:val="24"/>
                <w:szCs w:val="24"/>
                <w:lang w:eastAsia="zh-CN"/>
              </w:rPr>
            </w:pPr>
            <w:r>
              <w:rPr>
                <w:rFonts w:hint="eastAsia" w:ascii="宋体" w:hAnsi="宋体" w:cs="宋体"/>
                <w:sz w:val="24"/>
                <w:szCs w:val="24"/>
                <w:lang w:val="en-US" w:eastAsia="zh-CN"/>
              </w:rPr>
              <w:t>倪翔</w:t>
            </w:r>
          </w:p>
        </w:tc>
        <w:tc>
          <w:tcPr>
            <w:tcW w:w="1415" w:type="dxa"/>
            <w:gridSpan w:val="2"/>
            <w:vAlign w:val="center"/>
          </w:tcPr>
          <w:p>
            <w:pPr>
              <w:jc w:val="center"/>
              <w:rPr>
                <w:rFonts w:ascii="宋体" w:hAnsi="宋体" w:cs="宋体"/>
                <w:sz w:val="24"/>
                <w:szCs w:val="24"/>
              </w:rPr>
            </w:pPr>
            <w:r>
              <w:rPr>
                <w:rFonts w:hint="eastAsia" w:ascii="宋体" w:hAnsi="宋体" w:cs="宋体"/>
                <w:sz w:val="24"/>
                <w:szCs w:val="24"/>
              </w:rPr>
              <w:t>学习时间</w:t>
            </w:r>
          </w:p>
        </w:tc>
        <w:tc>
          <w:tcPr>
            <w:tcW w:w="1743" w:type="dxa"/>
            <w:gridSpan w:val="2"/>
            <w:vAlign w:val="center"/>
          </w:tcPr>
          <w:p>
            <w:pPr>
              <w:jc w:val="center"/>
              <w:rPr>
                <w:rFonts w:ascii="宋体" w:hAnsi="宋体" w:cs="宋体"/>
                <w:sz w:val="24"/>
                <w:szCs w:val="24"/>
              </w:rPr>
            </w:pPr>
            <w:r>
              <w:rPr>
                <w:rFonts w:hint="eastAsia" w:ascii="宋体" w:hAnsi="宋体" w:cs="宋体"/>
                <w:sz w:val="24"/>
                <w:szCs w:val="24"/>
              </w:rPr>
              <w:t>202</w:t>
            </w:r>
            <w:r>
              <w:rPr>
                <w:rFonts w:hint="eastAsia" w:ascii="宋体" w:hAnsi="宋体" w:cs="宋体"/>
                <w:sz w:val="24"/>
                <w:szCs w:val="24"/>
                <w:lang w:val="en-US" w:eastAsia="zh-CN"/>
              </w:rPr>
              <w:t>2</w:t>
            </w:r>
            <w:r>
              <w:rPr>
                <w:rFonts w:hint="eastAsia" w:ascii="宋体" w:hAnsi="宋体" w:cs="宋体"/>
                <w:sz w:val="24"/>
                <w:szCs w:val="24"/>
              </w:rPr>
              <w:t>年</w:t>
            </w:r>
            <w:r>
              <w:rPr>
                <w:rFonts w:hint="eastAsia" w:ascii="宋体" w:hAnsi="宋体" w:cs="宋体"/>
                <w:sz w:val="24"/>
                <w:szCs w:val="24"/>
                <w:lang w:val="en-US" w:eastAsia="zh-CN"/>
              </w:rPr>
              <w:t>5</w:t>
            </w:r>
            <w:r>
              <w:rPr>
                <w:rFonts w:hint="eastAsia" w:ascii="宋体" w:hAnsi="宋体" w:cs="宋体"/>
                <w:sz w:val="24"/>
                <w:szCs w:val="24"/>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6"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研究课题</w:t>
            </w:r>
          </w:p>
        </w:tc>
        <w:tc>
          <w:tcPr>
            <w:tcW w:w="6486" w:type="dxa"/>
            <w:gridSpan w:val="5"/>
            <w:vAlign w:val="center"/>
          </w:tcPr>
          <w:p>
            <w:pPr>
              <w:spacing w:beforeLines="50" w:afterLines="50" w:line="360" w:lineRule="exact"/>
              <w:ind w:right="25" w:rightChars="12"/>
              <w:jc w:val="center"/>
              <w:rPr>
                <w:rFonts w:ascii="宋体" w:hAnsi="宋体" w:cs="宋体"/>
                <w:sz w:val="24"/>
                <w:szCs w:val="24"/>
              </w:rPr>
            </w:pPr>
            <w:r>
              <w:rPr>
                <w:rStyle w:val="4"/>
                <w:rFonts w:hint="eastAsia"/>
                <w:b w:val="0"/>
                <w:bCs w:val="0"/>
                <w:sz w:val="24"/>
                <w:szCs w:val="24"/>
                <w:shd w:val="clear" w:color="auto" w:fill="FFFFFF"/>
                <w:lang w:val="en-US" w:eastAsia="zh-CN"/>
              </w:rPr>
              <w:t>农村初中校园欺凌现象的调查及教育对策的研究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0" w:hRule="atLeast"/>
          <w:jc w:val="center"/>
        </w:trPr>
        <w:tc>
          <w:tcPr>
            <w:tcW w:w="1064" w:type="dxa"/>
            <w:vMerge w:val="continue"/>
            <w:vAlign w:val="center"/>
          </w:tcPr>
          <w:p>
            <w:pPr>
              <w:ind w:firstLine="480" w:firstLineChars="200"/>
              <w:jc w:val="center"/>
              <w:rPr>
                <w:rFonts w:ascii="宋体" w:hAnsi="宋体" w:cs="宋体"/>
                <w:sz w:val="24"/>
              </w:rPr>
            </w:pPr>
          </w:p>
        </w:tc>
        <w:tc>
          <w:tcPr>
            <w:tcW w:w="1431" w:type="dxa"/>
            <w:vAlign w:val="center"/>
          </w:tcPr>
          <w:p>
            <w:pPr>
              <w:jc w:val="center"/>
              <w:rPr>
                <w:rFonts w:ascii="宋体" w:hAnsi="宋体" w:cs="宋体"/>
                <w:sz w:val="24"/>
                <w:szCs w:val="24"/>
              </w:rPr>
            </w:pPr>
            <w:r>
              <w:rPr>
                <w:rFonts w:hint="eastAsia" w:ascii="宋体" w:hAnsi="宋体" w:cs="宋体"/>
                <w:sz w:val="24"/>
                <w:szCs w:val="24"/>
              </w:rPr>
              <w:t>备注</w:t>
            </w:r>
          </w:p>
        </w:tc>
        <w:tc>
          <w:tcPr>
            <w:tcW w:w="6486" w:type="dxa"/>
            <w:gridSpan w:val="5"/>
            <w:vAlign w:val="center"/>
          </w:tcPr>
          <w:p>
            <w:pPr>
              <w:jc w:val="center"/>
              <w:rPr>
                <w:rFonts w:ascii="宋体" w:hAnsi="宋体" w:cs="宋体"/>
                <w:sz w:val="24"/>
                <w:szCs w:val="24"/>
              </w:rPr>
            </w:pPr>
          </w:p>
          <w:p>
            <w:pPr>
              <w:jc w:val="center"/>
              <w:rPr>
                <w:rFonts w:ascii="宋体" w:hAnsi="宋体" w:cs="宋体"/>
                <w:sz w:val="24"/>
                <w:szCs w:val="24"/>
              </w:rPr>
            </w:pPr>
          </w:p>
          <w:p>
            <w:pPr>
              <w:jc w:val="center"/>
              <w:rPr>
                <w:rFonts w:ascii="宋体" w:hAnsi="宋体" w:cs="宋体"/>
                <w:sz w:val="24"/>
                <w:szCs w:val="24"/>
              </w:rPr>
            </w:pPr>
          </w:p>
        </w:tc>
      </w:tr>
    </w:tbl>
    <w:p/>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4D3B4C"/>
    <w:rsid w:val="624D3B4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2022-06-26T07:07:00Z</dcterms:created>
  <dc:creator>明月如水</dc:creator>
  <cp:lastModifiedBy>明月如水</cp:lastModifiedBy>
  <dcterms:modified xsi:type="dcterms:W3CDTF">2022-06-26T07:09:48Z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2052-11.1.0.11339</vt:lpwstr>
  </property>
  <property fmtid="{D5CDD505-2E9C-101B-9397-08002B2CF9AE}" pid="3" name="ICV">
    <vt:lpwstr>B463FDB332424D4D88232C551F88B866</vt:lpwstr>
  </property>
</Properties>
</file>