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24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校园欺凌</w:t>
            </w:r>
            <w:r>
              <w:rPr>
                <w:rStyle w:val="4"/>
                <w:rFonts w:hint="eastAsia"/>
                <w:b w:val="0"/>
                <w:bCs w:val="0"/>
                <w:sz w:val="21"/>
                <w:szCs w:val="21"/>
                <w:shd w:val="clear" w:color="auto" w:fill="FFFFFF"/>
                <w:lang w:val="en-US" w:eastAsia="zh-CN"/>
              </w:rPr>
              <w:t>典型案例</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50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来自武检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default" w:ascii="宋体" w:hAnsi="宋体" w:eastAsia="宋体" w:cs="宋体"/>
                <w:sz w:val="24"/>
                <w:szCs w:val="24"/>
                <w:lang w:val="en-US" w:eastAsia="zh-CN"/>
              </w:rPr>
            </w:pP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50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502" w:type="dxa"/>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r>
              <w:rPr>
                <w:rStyle w:val="4"/>
                <w:rFonts w:hint="eastAsia"/>
                <w:b w:val="0"/>
                <w:bCs w:val="0"/>
                <w:sz w:val="21"/>
                <w:szCs w:val="21"/>
                <w:shd w:val="clear" w:color="auto" w:fill="FFFFFF"/>
                <w:lang w:val="en-US" w:eastAsia="zh-CN"/>
              </w:rPr>
              <w:t>典型案例：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r>
              <w:rPr>
                <w:rStyle w:val="4"/>
                <w:rFonts w:hint="eastAsia"/>
                <w:b w:val="0"/>
                <w:bCs w:val="0"/>
                <w:sz w:val="21"/>
                <w:szCs w:val="21"/>
                <w:shd w:val="clear" w:color="auto" w:fill="FFFFFF"/>
                <w:lang w:val="en-US" w:eastAsia="zh-CN"/>
              </w:rPr>
              <w:t>意气之争引出流血事件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r>
              <w:rPr>
                <w:rStyle w:val="4"/>
                <w:rFonts w:hint="eastAsia"/>
                <w:b w:val="0"/>
                <w:bCs w:val="0"/>
                <w:sz w:val="21"/>
                <w:szCs w:val="21"/>
                <w:shd w:val="clear" w:color="auto" w:fill="FFFFFF"/>
                <w:lang w:val="en-US" w:eastAsia="zh-CN"/>
              </w:rPr>
              <w:t>小余现在某高校读高二，个子小小的他却有着大大的能量。他爱看兄弟义气的江湖电影，他爱玩打打杀杀的网络游戏，他还爱交一些看起来很“厉害”的朋友。但同时另外一些同学对他的评价却是这小子傲得不行，怎么看都让人觉得看不顺眼。这些看小余不顺眼的同学以小孟为首。小孟是高三的孩子王，按道理和小余是八竿子打不着的关系，但是一次数学竞赛，小余竟然打败了更高一级的小孟，伤了他的面子，而背地里的风言风语又传出小余放话说小孟算什么东西、我的手下败将等等。本来应该只是小小的口角之争，却渐渐地开始演变成暴力事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r>
              <w:rPr>
                <w:rStyle w:val="4"/>
                <w:rFonts w:hint="eastAsia"/>
                <w:b w:val="0"/>
                <w:bCs w:val="0"/>
                <w:sz w:val="21"/>
                <w:szCs w:val="21"/>
                <w:shd w:val="clear" w:color="auto" w:fill="FFFFFF"/>
                <w:lang w:val="en-US" w:eastAsia="zh-CN"/>
              </w:rPr>
              <w:t>小孟觉得作为高三大哥，怎么都不能容忍低年级小弟的挑衅。于是他喊上了一帮要好的同学，在校园里开始有意无意地给小余找茬。阴阳怪气的挑拨不算，到之后甚至发展到放学下课堵着小余，交钱不杀，没钱，那就等着挨揍吧。几次之后，小余也被挑出了火气，他想着又不是就你小孟有朋友，既然你非要跟我作对，那来就来，谁怕谁。小余积极联系了校外那些“厉害”的小伙伴，然后直截了当地找小孟放狠话，约斗去了。小孟自然不甘示弱，欣然应战。于是在校园后面的空地上，一场大乱斗就这样发生了，这边叫嚣不断，那边哎呦连声，棒球棍、红缨枪纷纷登场、钢管、砍刀层出不穷，打了一个昏天暗地。最终，造成了3人轻伤，1人重伤的后果。面对着倒地不起的小伙伴和同学们，小余和小孟傻了眼，但他们终将为自己的不成熟付出代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eastAsia" w:eastAsia="宋体"/>
                <w:sz w:val="24"/>
                <w:lang w:eastAsia="zh-CN"/>
              </w:rPr>
            </w:pPr>
            <w:r>
              <w:rPr>
                <w:rFonts w:hint="eastAsia"/>
                <w:sz w:val="24"/>
                <w:lang w:val="en-US" w:eastAsia="zh-CN"/>
              </w:rPr>
              <w:t>青少年需要迅速地意识到如何在人际交往中建立对等、健康的人际关系。面对校园欺凌的发生，要做到不卑不亢，及时向老师或家长反映，不能一味沉默，助长欺凌者的气焰，但更不能以暴制暴，造成更严重的悲剧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罗银燕</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9</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p/>
    <w:p/>
    <w:p/>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24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left"/>
              <w:rPr>
                <w:rFonts w:hint="eastAsia" w:ascii="宋体" w:hAnsi="宋体" w:cs="宋体"/>
                <w:sz w:val="24"/>
                <w:szCs w:val="24"/>
              </w:rPr>
            </w:pPr>
            <w:r>
              <w:rPr>
                <w:rFonts w:hint="eastAsia" w:ascii="宋体" w:hAnsi="宋体" w:cs="宋体"/>
                <w:sz w:val="24"/>
                <w:szCs w:val="24"/>
              </w:rPr>
              <w:t>浅谈农村中学校园欺凌现状及防治策略</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曹宏图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《中学教学参考》</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50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2019年第015期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r>
              <w:rPr>
                <w:rStyle w:val="4"/>
                <w:rFonts w:hint="eastAsia" w:ascii="宋体" w:hAnsi="宋体" w:cs="宋体"/>
                <w:b w:val="0"/>
              </w:rPr>
              <w:t>笔者认为欺凌现象有两种表现形式：一种是直接欺凌，即教师与学生之间、学生与学生之间通过语言、肢体等直接激化矛盾，最终发生欺凌事件，如部分教师或学生在学校生活中，直接殴打其他学生，或是做出言语上的羞辱，或者通过网络渠道对其他学生做出侮辱行为，其恶意性给受欺凌学生造成心理上的创伤或身体上的伤害，主要表现为踢打、抢夺钱财、语言谩骂，甚至手持刀具威胁等;另一种是间接性欺凌，即有的学生借助中间人的语言或者行为，对要欺凌的对象进行攻击，从而造成被欺凌者受伤害，具体说来，就是借助第三方关系，对受欺凌者进行攻击，这里面包括恶意的语言煽动、刻意的挤兑或排挤、散播谣言、传话威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default" w:eastAsia="宋体"/>
                <w:sz w:val="24"/>
                <w:lang w:val="en-US" w:eastAsia="zh-CN"/>
              </w:rPr>
            </w:pPr>
            <w:r>
              <w:rPr>
                <w:rFonts w:hint="eastAsia"/>
                <w:sz w:val="24"/>
                <w:lang w:val="en-US" w:eastAsia="zh-CN"/>
              </w:rPr>
              <w:t>了解到校园欺凌的又一种分类方法。而遭受间接欺凌的受害者，在心理方面所受到的伤害，其程度远远大于遭受直接欺凌的受害者。不过无论通过何种形式，所有欺凌事件都会对每一个受欺凌的中学生身心健康成长带来难以估量的心理阴影和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罗银燕</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2021年</w:t>
            </w:r>
            <w:r>
              <w:rPr>
                <w:rFonts w:hint="eastAsia" w:ascii="宋体" w:hAnsi="宋体" w:cs="宋体"/>
                <w:sz w:val="24"/>
                <w:szCs w:val="24"/>
                <w:lang w:val="en-US" w:eastAsia="zh-CN"/>
              </w:rPr>
              <w:t>12</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F5450"/>
    <w:rsid w:val="295F54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2022-09-07T00:11:00Z</dcterms:created>
  <dc:creator>XY</dc:creator>
  <cp:lastModifiedBy>XY</cp:lastModifiedBy>
  <dcterms:modified xsi:type="dcterms:W3CDTF">2022-09-07T00:12:19Z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690C6E3A19FF4DC9807843A995DAB887</vt:lpwstr>
  </property>
</Properties>
</file>