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武进区“七五”普法考核验收细则责任分解表</w:t>
      </w:r>
      <w:r>
        <w:rPr>
          <w:rFonts w:hint="eastAsia" w:eastAsia="黑体"/>
          <w:color w:val="000000"/>
          <w:kern w:val="0"/>
          <w:sz w:val="24"/>
          <w:szCs w:val="24"/>
          <w:lang w:eastAsia="zh-CN"/>
        </w:rPr>
        <w:t>（与学校相关的基础考核内容和标准）</w:t>
      </w:r>
    </w:p>
    <w:p>
      <w:pPr>
        <w:adjustRightInd w:val="0"/>
        <w:snapToGrid w:val="0"/>
        <w:spacing w:line="600" w:lineRule="exact"/>
        <w:jc w:val="left"/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</w:pPr>
    </w:p>
    <w:tbl>
      <w:tblPr>
        <w:tblStyle w:val="3"/>
        <w:tblW w:w="13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83"/>
        <w:gridCol w:w="5352"/>
        <w:gridCol w:w="3467"/>
        <w:gridCol w:w="3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tblHeader/>
          <w:jc w:val="center"/>
        </w:trPr>
        <w:tc>
          <w:tcPr>
            <w:tcW w:w="2075" w:type="dxa"/>
            <w:gridSpan w:val="2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57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7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 w:val="24"/>
                <w:szCs w:val="24"/>
              </w:rPr>
              <w:t>项目编号及考核内容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57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3000" w:type="dxa"/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57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snapToGrid w:val="0"/>
                <w:color w:val="000000"/>
                <w:kern w:val="0"/>
                <w:sz w:val="24"/>
                <w:szCs w:val="24"/>
              </w:rPr>
              <w:t>内容提要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Ⅱ－3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重点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内容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宣传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Calibri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Ⅲ－7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宪法学习宣传教育情况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eastAsia="仿宋_GB2312"/>
                <w:snapToGrid w:val="0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（16）部署开展宪法学习宣传系列活动，推动宪法精神进校园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。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各中小学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eastAsia="仿宋_GB2312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eastAsia="仿宋_GB2312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提供部署通知、总结、信息、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eastAsia="仿宋_GB2312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eastAsia="仿宋_GB2312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图片等相关材料。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Calibri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Ⅲ－8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中国特色社会主义法律体系和党内法规宣传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情况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（19）围绕党委政府中心工作，认真开展“法润江苏”系列主题法治宣传教育活动，宣传中国特色社会主义法律体系，宣传与群众生产生活密切相关的法律法规，宣传党内法规，法治宣传教育进学校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进家庭活动每年各不少于4次。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各中小学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提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供部署通知、总结、信息、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图片等相关材料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Calibri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auto"/>
              </w:rPr>
              <w:t>Ⅲ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－9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年度主题活动开展情况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（20）部署开展“美好生活·德法相伴”“德法涵养文明·共建绿色生活”“服务打好污染防治攻坚战””“疫情防控·法治同行”以及安全生产等主题活动，创新活动形式，并取得较好成效。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各中小学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部署通知、总结、信息、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hint="eastAsia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图片等相关材料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Ⅱ－4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重点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对象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学法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Ⅲ</w:t>
            </w:r>
            <w:r>
              <w:rPr>
                <w:rFonts w:eastAsia="仿宋_GB2312"/>
                <w:kern w:val="0"/>
                <w:sz w:val="24"/>
                <w:szCs w:val="24"/>
              </w:rPr>
              <w:t>－12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青少年法治教育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情况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（31）贯彻落实教育部、司法部颁布的《青少年法治教育大纲》，各级各类学校按要求落实大纲规定的法治教育计划，把法治教育的内容有机统一于教学课程设计。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各中小学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default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学校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法治教育计划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、总课表等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5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（32）大力开展法治校园创建活动，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相关通知、方案、新闻、书画、剧本、微视频、情景剧、摄影作品等；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100%配齐兼职法治副校长（辅导员）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每学年开展法治教育4次以上；入学、入队、成人礼仪式中规范设置专门法治教育环节。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各中小学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snapToGrid w:val="0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相关文件、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方案、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法治副校长名单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、单位及</w:t>
            </w:r>
            <w:r>
              <w:rPr>
                <w:rFonts w:eastAsia="仿宋_GB2312"/>
                <w:kern w:val="0"/>
                <w:sz w:val="24"/>
                <w:szCs w:val="24"/>
                <w:shd w:val="clear" w:color="auto" w:fill="auto"/>
              </w:rPr>
              <w:t>联络方式、活动信息、图片、数据</w:t>
            </w: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ascii="Calibri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Ⅱ－12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表彰奖励和典型经验  (10分)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Ⅱ</w:t>
            </w:r>
            <w:r>
              <w:rPr>
                <w:rFonts w:eastAsia="仿宋_GB2312"/>
                <w:kern w:val="0"/>
                <w:sz w:val="24"/>
                <w:szCs w:val="24"/>
              </w:rPr>
              <w:t>－12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表彰奖励和典型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经验</w:t>
            </w:r>
          </w:p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Calibri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（10分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53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Calibri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（79）获得全国法治文化作品征集活动一、二等奖的。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shd w:val="clear" w:color="auto" w:fill="auto"/>
              </w:rPr>
              <w:t>各中小学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相关文件，奖牌、证书图片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Calibri" w:hAnsi="Calibri" w:eastAsia="仿宋_GB2312" w:cs="Times New Roman"/>
                <w:ker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eastAsia="仿宋_GB2312"/>
                <w:snapToGrid w:val="0"/>
                <w:kern w:val="0"/>
                <w:sz w:val="24"/>
                <w:szCs w:val="24"/>
              </w:rPr>
              <w:t>（视频）等相关资料。</w:t>
            </w:r>
          </w:p>
        </w:tc>
      </w:tr>
    </w:tbl>
    <w:p>
      <w:pPr>
        <w:spacing w:after="120" w:line="400" w:lineRule="exact"/>
        <w:jc w:val="left"/>
        <w:rPr>
          <w:rFonts w:eastAsia="黑体"/>
          <w:kern w:val="0"/>
          <w:sz w:val="24"/>
          <w:szCs w:val="24"/>
        </w:rPr>
      </w:pPr>
    </w:p>
    <w:p>
      <w:pPr>
        <w:widowControl/>
        <w:jc w:val="left"/>
        <w:sectPr>
          <w:pgSz w:w="16838" w:h="11906" w:orient="landscape"/>
          <w:pgMar w:top="1134" w:right="1134" w:bottom="1134" w:left="1134" w:header="709" w:footer="1361" w:gutter="0"/>
          <w:cols w:space="720" w:num="1"/>
          <w:docGrid w:type="lines" w:linePitch="302" w:charSpace="0"/>
        </w:sect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eastAsia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武进区“七五”普法台帐资料目录</w:t>
      </w:r>
    </w:p>
    <w:p>
      <w:pPr>
        <w:spacing w:line="300" w:lineRule="exact"/>
        <w:jc w:val="left"/>
      </w:pPr>
    </w:p>
    <w:p>
      <w:pPr>
        <w:adjustRightInd w:val="0"/>
        <w:snapToGrid w:val="0"/>
        <w:spacing w:after="120" w:line="570" w:lineRule="exact"/>
        <w:rPr>
          <w:rFonts w:eastAsia="仿宋_GB2312"/>
          <w:snapToGrid w:val="0"/>
          <w:kern w:val="0"/>
          <w:sz w:val="28"/>
          <w:szCs w:val="28"/>
          <w:u w:val="single"/>
        </w:rPr>
      </w:pPr>
      <w:r>
        <w:rPr>
          <w:rFonts w:eastAsia="仿宋_GB2312"/>
          <w:snapToGrid w:val="0"/>
          <w:kern w:val="0"/>
          <w:sz w:val="28"/>
          <w:szCs w:val="28"/>
        </w:rPr>
        <w:t>单位（盖章）：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 </w:t>
      </w:r>
      <w:r>
        <w:rPr>
          <w:rFonts w:eastAsia="仿宋_GB2312"/>
          <w:snapToGrid w:val="0"/>
          <w:kern w:val="0"/>
          <w:sz w:val="28"/>
          <w:szCs w:val="28"/>
        </w:rPr>
        <w:t xml:space="preserve">  联系人：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eastAsia="仿宋_GB2312"/>
          <w:snapToGrid w:val="0"/>
          <w:kern w:val="0"/>
          <w:sz w:val="28"/>
          <w:szCs w:val="28"/>
        </w:rPr>
        <w:t xml:space="preserve"> 电话：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</w:t>
      </w:r>
    </w:p>
    <w:tbl>
      <w:tblPr>
        <w:tblStyle w:val="3"/>
        <w:tblW w:w="89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575"/>
        <w:gridCol w:w="4094"/>
        <w:gridCol w:w="1417"/>
        <w:gridCol w:w="10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文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sz w:val="28"/>
                <w:szCs w:val="28"/>
              </w:rPr>
              <w:t>号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题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hAnsi="黑体" w:eastAsia="黑体"/>
                <w:sz w:val="28"/>
                <w:szCs w:val="28"/>
              </w:rPr>
              <w:t>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日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sz w:val="28"/>
                <w:szCs w:val="28"/>
              </w:rPr>
              <w:t>期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备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hAnsi="黑体" w:eastAsia="黑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Ⅱ－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－Ⅲ－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－（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）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是指台账产生的日期，不是最后呈报的日期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Ⅱ－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－Ⅲ－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－（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）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  <w:t>如果是跨年度的就写几几年到几几年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Ⅱ－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－Ⅲ－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－（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）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Ⅱ－4－Ⅲ－12－（31）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default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Ⅱ－4－Ⅲ－12－（3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）</w:t>
            </w:r>
          </w:p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2.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Ⅱ－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－Ⅱ－12－（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）</w:t>
            </w:r>
          </w:p>
        </w:tc>
        <w:tc>
          <w:tcPr>
            <w:tcW w:w="409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如有，则上报此项目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overflowPunct w:val="0"/>
        <w:adjustRightInd w:val="0"/>
        <w:snapToGrid w:val="0"/>
        <w:spacing w:before="120"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说明：1</w:t>
      </w:r>
      <w:r>
        <w:rPr>
          <w:rFonts w:hint="eastAsia" w:eastAsia="仿宋_GB2312"/>
          <w:sz w:val="28"/>
          <w:szCs w:val="28"/>
        </w:rPr>
        <w:t xml:space="preserve">. </w:t>
      </w:r>
      <w:r>
        <w:rPr>
          <w:rFonts w:eastAsia="仿宋_GB2312"/>
          <w:sz w:val="28"/>
          <w:szCs w:val="28"/>
        </w:rPr>
        <w:t>报送的成果资料为实物的请在备注栏中注明；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6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F291C"/>
    <w:rsid w:val="03D96E6B"/>
    <w:rsid w:val="0BED7C2C"/>
    <w:rsid w:val="1D8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2020-05-07T03:09:00Z</dcterms:created>
  <dc:creator>拾柒</dc:creator>
  <cp:lastModifiedBy>拾柒</cp:lastModifiedBy>
  <dcterms:modified xsi:type="dcterms:W3CDTF">2020-05-07T06:46:14Z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