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题目：《书法教育在多维阶梯自我进步》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作者：阙文霞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发表刊物：《江苏教育》 发表时间：2020.1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2085" cy="7416165"/>
                  <wp:effectExtent l="0" t="0" r="5715" b="13335"/>
                  <wp:docPr id="1" name="图片 1" descr="在书法教育中炼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在书法教育中炼心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85" cy="74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260" cy="7600950"/>
                  <wp:effectExtent l="0" t="0" r="2540" b="0"/>
                  <wp:docPr id="2" name="图片 2" descr="在书法教育中炼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在书法教育中炼心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865" cy="7031990"/>
                  <wp:effectExtent l="0" t="0" r="6985" b="16510"/>
                  <wp:docPr id="3" name="图片 3" descr="在书法教育中炼心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在书法教育中炼心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703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5260" cy="7044690"/>
                  <wp:effectExtent l="0" t="0" r="2540" b="3810"/>
                  <wp:docPr id="4" name="图片 4" descr="在书法教育中炼心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在书法教育中炼心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704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3515" cy="7922260"/>
                  <wp:effectExtent l="0" t="0" r="13335" b="2540"/>
                  <wp:docPr id="5" name="图片 5" descr="在书法教育中炼心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在书法教育中炼心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92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3B5F14F8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