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亲爱的老师、同学们：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大家好！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岁聿云暮，吟咏卷书，当岁月的记忆被时间一一应允，也允许我们翻开一本书，与大家一起越过千山万水，迎接我校读书节的到来。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华民族自古崇尚读书，讲究格物致知、诚意正心。从“凿壁借光”到“孙康映雪”，从“兴于诗、立于礼，成于悦”到“立身以立学为先，立学以读书文本”，读书是获取知识、启智增慧、培养道德的重要途径，可以让人得到思想启发，树立崇高理想，涵养浩然之气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好书如师如友，有着穿透人心，跨越时空的力量。诗人杜甫说“读书破万卷下笔如有神”，理学家朱熹说“问渠那得清如许，为有源头活水来”，作家杨绛说“每本书都别有天地，别有日月星辰”。读书，世界就在眼前，不读书，眼前就是世界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学们，拿起书来吧，可以晨读、午诵、也可以每晚利用20分钟时间进行亲子共读，可以亲近童谣童话，在中华美德的滋养下，让金色的童年更加阳光灿烂，可以阅读名著经典，让金色的童年更加丰富多彩。希望同学们多读书、读好书、学以致用、立志成才，在阅读中收获成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FBFDE"/>
    <w:rsid w:val="27F5A397"/>
    <w:rsid w:val="FDAFB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2024-12-02T08:22:00Z</dcterms:created>
  <dc:creator>娜娜那么好</dc:creator>
  <cp:lastModifiedBy>娜娜那么好</cp:lastModifiedBy>
  <dcterms:modified xsi:type="dcterms:W3CDTF">2024-12-02T00:41:20Z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DDA08C16694A553C568D4C67FEC7916E_41</vt:lpwstr>
  </property>
</Properties>
</file>