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文献学习：</w:t>
      </w:r>
    </w:p>
    <w:p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青少年科创教育的“创中学”模型建构</w:t>
      </w:r>
    </w:p>
    <w:p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■ 王    枫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摘   要：科创教育作为被赋予人类科技创新活动内容与特征的教育过程，其目标是培养学生认识、理解科学技术 并运用科学技术进行创新创造的能力，是从小培养科创人才的重要途径。“创中学”是青少年科创教育的主要学习方式， 吸收杜威的“做中学”思想、布鲁纳的“发现学习”理论后迭代演进而来，倡导在创造中学会学习、在创造中学会创造，强 调学习过程、实践过程和创新创造过程的统一。本文基于青少年科创教育“创中学”的概念及特征分析，借鉴国际创造 力教育的典型经验和研究成果，尝试通过构建“创中学”综合课程设计的“双螺旋模型”、“创中学”学习过程的“飞轮模 型”和基于“创中学”学习共同体的评价模型，创新科创教育的本土实践方式，助力党和国家科创人才早期培养。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关键词：科创教育；创中学；科创人才培养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DOI:10.14121/j.cnki.1008-3855.2024.06.006</w:t>
      </w:r>
    </w:p>
    <w:p>
      <w:pPr>
        <w:bidi w:val="0"/>
        <w:rPr>
          <w:rFonts w:hint="default" w:eastAsia="宋体"/>
          <w:sz w:val="24"/>
          <w:szCs w:val="24"/>
          <w:lang w:val="en-US" w:eastAsia="zh-CN"/>
        </w:rPr>
      </w:pP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（一）科学教育与科创教育的内涵辨析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1309370</wp:posOffset>
                </wp:positionV>
                <wp:extent cx="1438910" cy="762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66" h="12">
                              <a:moveTo>
                                <a:pt x="0" y="5"/>
                              </a:moveTo>
                              <a:lnTo>
                                <a:pt x="2265" y="5"/>
                              </a:lnTo>
                            </a:path>
                          </a:pathLst>
                        </a:custGeom>
                        <a:noFill/>
                        <a:ln w="7239" cap="flat" cmpd="sng">
                          <a:solidFill>
                            <a:srgbClr val="231F20"/>
                          </a:solidFill>
                          <a:prstDash val="solid"/>
                          <a:miter lim="4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5.05pt;margin-top:103.1pt;height:0.6pt;width:113.3pt;z-index:251659264;mso-width-relative:page;mso-height-relative:page;" filled="f" stroked="t" coordsize="2266,12" o:gfxdata="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ULNazWAAAACgEAAA8AAAAAAAAAAQAgAAAA&#10;IgAAAGRycy9kb3ducmV2LnhtbFBLAQIUABQAAAAIAIdO4kAgSib+RgIAAKMEAAAOAAAAAAAAAAEA&#10;IAAAACUBAABkcnMvZTJvRG9jLnhtbFBLBQYAAAAABgAGAFkBAADdBQAAAAA=&#10;" path="m0,5l2265,5e">
                <v:fill on="f" focussize="0,0"/>
                <v:stroke weight="0.57pt" color="#231F20" miterlimit="4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w:t>科学教育是对人类在研究自然现象、发现自然 规律的基础上形成的知识系统及获得这些知识系统 的认识过程和在此过程中所利用的方法开展的教 育[2] 。科创教育指被赋予人类科技创新活动的内容 与特征，以达到培养科技创新人才为目的的教育过 程[3] 。两者都源于人类的科学研究和科技发展，形成由一系列核心概念组成的知识结构体系。与科学 教育相比，科创教育更强调科学技术与创新创造的 有 机融合 ，与 国外 STEM 教 育、创 客教 育（Maker Education）等概念相近[4]。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科创教育与科学教育的区别还体现在：科学教 育的目标主要是引导学生掌握科学核心概念、科学 研究方法和培养科学思维与科学精神[5]，科创教育 的目标则侧重培养学生认识、理解科学技术并运用 科学技术进行创新创造的能力。就教育过程的驱动 方式而言，科学教育主要由学习和认知过程驱动，科 创教育则直接由创造性实践过程驱动。从学科属性 来看，科学教育可以是学科教育也可以跨学科实施， 科创教育则带有鲜明的跨学科性质，这也决定了它 们在教学模式上存在的差异：科学教育主要采用讲 授、实验等教学方式开展，科创教育则以“创中学”为 主要学习方式[6]，两者也都借助项目化学习、研究性 学习等教学方法 ，将科学与科创有机结合起来 （见表 1）。</w:t>
      </w:r>
    </w:p>
    <w:p>
      <w:pPr>
        <w:pStyle w:val="2"/>
        <w:spacing w:before="44" w:line="236" w:lineRule="auto"/>
        <w:ind w:left="153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color w:val="231F20"/>
          <w:spacing w:val="6"/>
          <w:sz w:val="21"/>
          <w:szCs w:val="21"/>
        </w:rPr>
        <w:t>表</w:t>
      </w:r>
      <w:r>
        <w:rPr>
          <w:rFonts w:ascii="楷体" w:hAnsi="楷体" w:eastAsia="楷体" w:cs="楷体"/>
          <w:color w:val="231F20"/>
          <w:spacing w:val="-39"/>
          <w:sz w:val="21"/>
          <w:szCs w:val="21"/>
        </w:rPr>
        <w:t xml:space="preserve"> </w:t>
      </w:r>
      <w:r>
        <w:rPr>
          <w:color w:val="231F20"/>
          <w:spacing w:val="6"/>
          <w:sz w:val="21"/>
          <w:szCs w:val="21"/>
        </w:rPr>
        <w:t xml:space="preserve">1  </w:t>
      </w:r>
      <w:r>
        <w:rPr>
          <w:rFonts w:ascii="楷体" w:hAnsi="楷体" w:eastAsia="楷体" w:cs="楷体"/>
          <w:color w:val="231F20"/>
          <w:spacing w:val="6"/>
          <w:sz w:val="21"/>
          <w:szCs w:val="21"/>
        </w:rPr>
        <w:t>科学教育与科创教育的差异比较</w:t>
      </w:r>
    </w:p>
    <w:p>
      <w:pPr>
        <w:spacing w:line="94" w:lineRule="exact"/>
        <w:rPr>
          <w:sz w:val="21"/>
          <w:szCs w:val="21"/>
        </w:rPr>
      </w:pPr>
    </w:p>
    <w:tbl>
      <w:tblPr>
        <w:tblStyle w:val="6"/>
        <w:tblW w:w="5838" w:type="dxa"/>
        <w:tblInd w:w="70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2262"/>
        <w:gridCol w:w="22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24" w:type="dxa"/>
            <w:tcBorders>
              <w:top w:val="single" w:color="030303" w:sz="4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77" w:line="234" w:lineRule="auto"/>
              <w:ind w:left="321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类型/要素</w:t>
            </w:r>
          </w:p>
        </w:tc>
        <w:tc>
          <w:tcPr>
            <w:tcW w:w="2262" w:type="dxa"/>
            <w:tcBorders>
              <w:top w:val="single" w:color="030303" w:sz="4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79" w:line="233" w:lineRule="auto"/>
              <w:ind w:left="728"/>
              <w:rPr>
                <w:sz w:val="21"/>
                <w:szCs w:val="21"/>
              </w:rPr>
            </w:pPr>
            <w:r>
              <w:rPr>
                <w:b/>
                <w:bCs/>
                <w:color w:val="030303"/>
                <w:spacing w:val="4"/>
                <w:sz w:val="21"/>
                <w:szCs w:val="21"/>
              </w:rPr>
              <w:t>科学教育</w:t>
            </w:r>
          </w:p>
        </w:tc>
        <w:tc>
          <w:tcPr>
            <w:tcW w:w="2252" w:type="dxa"/>
            <w:tcBorders>
              <w:top w:val="single" w:color="030303" w:sz="4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79" w:line="233" w:lineRule="auto"/>
              <w:ind w:left="694"/>
              <w:rPr>
                <w:sz w:val="21"/>
                <w:szCs w:val="21"/>
              </w:rPr>
            </w:pPr>
            <w:r>
              <w:rPr>
                <w:b/>
                <w:bCs/>
                <w:color w:val="030303"/>
                <w:spacing w:val="4"/>
                <w:sz w:val="21"/>
                <w:szCs w:val="21"/>
              </w:rPr>
              <w:t>科创教育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24" w:type="dxa"/>
            <w:tcBorders>
              <w:top w:val="single" w:color="030303" w:sz="4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52" w:line="234" w:lineRule="auto"/>
              <w:ind w:left="350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教育目标</w:t>
            </w:r>
          </w:p>
        </w:tc>
        <w:tc>
          <w:tcPr>
            <w:tcW w:w="2262" w:type="dxa"/>
            <w:tcBorders>
              <w:top w:val="single" w:color="030303" w:sz="4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87" w:line="242" w:lineRule="auto"/>
              <w:ind w:left="358" w:right="164" w:hanging="103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掌握科学知识和科学研究方法</w:t>
            </w:r>
            <w:r>
              <w:rPr>
                <w:color w:val="030303"/>
                <w:spacing w:val="3"/>
                <w:sz w:val="21"/>
                <w:szCs w:val="21"/>
              </w:rPr>
              <w:t xml:space="preserve"> </w:t>
            </w:r>
            <w:r>
              <w:rPr>
                <w:color w:val="030303"/>
                <w:spacing w:val="5"/>
                <w:sz w:val="21"/>
                <w:szCs w:val="21"/>
              </w:rPr>
              <w:t>培养科学思维和科学精神</w:t>
            </w:r>
          </w:p>
        </w:tc>
        <w:tc>
          <w:tcPr>
            <w:tcW w:w="2252" w:type="dxa"/>
            <w:tcBorders>
              <w:top w:val="single" w:color="030303" w:sz="4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86" w:line="233" w:lineRule="auto"/>
              <w:ind w:left="325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培养认识、理解科学技术</w:t>
            </w:r>
          </w:p>
          <w:p>
            <w:pPr>
              <w:pStyle w:val="5"/>
              <w:spacing w:before="10" w:line="233" w:lineRule="auto"/>
              <w:ind w:left="168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并运用科学技术创新创造的能力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2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57" w:line="234" w:lineRule="auto"/>
              <w:ind w:left="350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驱动方式</w:t>
            </w:r>
          </w:p>
        </w:tc>
        <w:tc>
          <w:tcPr>
            <w:tcW w:w="2262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59" w:line="234" w:lineRule="auto"/>
              <w:ind w:left="466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学习和认知过程驱动</w:t>
            </w:r>
          </w:p>
        </w:tc>
        <w:tc>
          <w:tcPr>
            <w:tcW w:w="2252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59" w:line="234" w:lineRule="auto"/>
              <w:ind w:left="431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创造性实践过程驱动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24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59" w:line="233" w:lineRule="auto"/>
              <w:ind w:left="351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学科属性</w:t>
            </w:r>
          </w:p>
        </w:tc>
        <w:tc>
          <w:tcPr>
            <w:tcW w:w="2262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61" w:line="233" w:lineRule="auto"/>
              <w:ind w:left="651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学科/跨学科</w:t>
            </w:r>
          </w:p>
        </w:tc>
        <w:tc>
          <w:tcPr>
            <w:tcW w:w="2252" w:type="dxa"/>
            <w:tcBorders>
              <w:top w:val="single" w:color="030303" w:sz="2" w:space="0"/>
              <w:bottom w:val="single" w:color="030303" w:sz="2" w:space="0"/>
            </w:tcBorders>
            <w:vAlign w:val="top"/>
          </w:tcPr>
          <w:p>
            <w:pPr>
              <w:pStyle w:val="5"/>
              <w:spacing w:before="161" w:line="233" w:lineRule="auto"/>
              <w:ind w:left="748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跨学科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324" w:type="dxa"/>
            <w:tcBorders>
              <w:top w:val="single" w:color="030303" w:sz="2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161" w:line="234" w:lineRule="auto"/>
              <w:ind w:left="350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教学模式</w:t>
            </w:r>
          </w:p>
        </w:tc>
        <w:tc>
          <w:tcPr>
            <w:tcW w:w="2262" w:type="dxa"/>
            <w:tcBorders>
              <w:top w:val="single" w:color="030303" w:sz="2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95" w:line="234" w:lineRule="auto"/>
              <w:ind w:left="570"/>
              <w:rPr>
                <w:sz w:val="21"/>
                <w:szCs w:val="21"/>
              </w:rPr>
            </w:pPr>
            <w:r>
              <w:rPr>
                <w:color w:val="030303"/>
                <w:spacing w:val="4"/>
                <w:sz w:val="21"/>
                <w:szCs w:val="21"/>
              </w:rPr>
              <w:t>讲授、实验教学;</w:t>
            </w:r>
          </w:p>
          <w:p>
            <w:pPr>
              <w:pStyle w:val="5"/>
              <w:spacing w:before="9" w:line="233" w:lineRule="auto"/>
              <w:ind w:left="307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项目化学习、研究性学习等</w:t>
            </w:r>
          </w:p>
        </w:tc>
        <w:tc>
          <w:tcPr>
            <w:tcW w:w="2252" w:type="dxa"/>
            <w:tcBorders>
              <w:top w:val="single" w:color="030303" w:sz="2" w:space="0"/>
              <w:bottom w:val="single" w:color="030303" w:sz="4" w:space="0"/>
            </w:tcBorders>
            <w:vAlign w:val="top"/>
          </w:tcPr>
          <w:p>
            <w:pPr>
              <w:pStyle w:val="5"/>
              <w:spacing w:before="96" w:line="234" w:lineRule="auto"/>
              <w:ind w:left="748"/>
              <w:rPr>
                <w:sz w:val="21"/>
                <w:szCs w:val="21"/>
              </w:rPr>
            </w:pPr>
            <w:r>
              <w:rPr>
                <w:color w:val="030303"/>
                <w:spacing w:val="3"/>
                <w:sz w:val="21"/>
                <w:szCs w:val="21"/>
              </w:rPr>
              <w:t>创中学;</w:t>
            </w:r>
          </w:p>
          <w:p>
            <w:pPr>
              <w:pStyle w:val="5"/>
              <w:spacing w:before="9" w:line="233" w:lineRule="auto"/>
              <w:ind w:left="273"/>
              <w:rPr>
                <w:sz w:val="21"/>
                <w:szCs w:val="21"/>
              </w:rPr>
            </w:pPr>
            <w:r>
              <w:rPr>
                <w:color w:val="030303"/>
                <w:spacing w:val="5"/>
                <w:sz w:val="21"/>
                <w:szCs w:val="21"/>
              </w:rPr>
              <w:t>项目化学习、研究性学习等</w:t>
            </w:r>
          </w:p>
        </w:tc>
      </w:tr>
    </w:tbl>
    <w:p>
      <w:pPr>
        <w:bidi w:val="0"/>
      </w:pP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反思：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读完《青少年科创教育的 “创中学” 模型建构》这篇论文，我对青少年科创教育有了更深刻的认识，也对 “创中学” 这种学习方式有了全新的理解。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文章中提到，科创教育的 “创中学” 理念源于杜威的 “做中学” 和布鲁纳的 “发现学习”，并在现代教育中不断发展演变。它强调学生在创造过程中学习和成长，将学习、实践与创新创造有机结合。这一理念让我意识到，青少年科创教育不应仅仅局限于知识的传授，更应注重培养学生的实践能力和创新精神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 “双螺旋模型” 中，科技与创新相辅相成，问题驱动与思维贯穿始终，导学互动推动师生共同成长。这种模式启示我们，在教学中要精心设计问题情境，引导学生积极思考，激发他们的好奇心和求知欲，让学生在解决问题的过程中掌握知识和技能，培养创新思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“飞轮模型” 则进一步展示了 “创中学” 的具体过程，从探究阶段的激趣探新，到想象阶段的激活思维，再到行动阶段的激励实践，最后到反思阶段的激发审辩，每个环节都紧密相连，缺一不可。这使我认识到，学生的创新能力培养是一个循序渐进的过程，需要在不断的实践和反思中逐步提升。我们应鼓励学生勇于尝试，不怕失败，在实践中积累经验，在反思中不断改进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基于 “创中学” 共同体的评价模型，强调评价要关注学生创新创造能力的发展，同时也要考虑学习环境、学习方式等因素。这提醒我们，评价不应仅仅是对结果的考量，更应注重过程的评价，要全面、客观地评价学生的学习过程和创新成果，为学生提供及时、有效的反馈，促进他们不断进步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实际教学中，我们可以借鉴这些模型，积极探索适合青少年的科创教育方法，为培养具有创新精神和实践能力的科创人才贡献力量。例如，组织学生开展项目式学习，让他们在真实情境中解决问题；创设创新实践平台，鼓励学生将想法转化为实际成果；加强教师培训，提升教师的创新教育能力等。相信通过不断努力，我们能够为青少年打开科技创新的大门，助力他们在创新创造的道路上茁壮成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</w:docVars>
  <w:rsids>
    <w:rsidRoot w:val="00000000"/>
    <w:rsid w:val="133B281F"/>
    <w:rsid w:val="429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1091</Characters>
  <Lines>0</Lines>
  <Paragraphs>0</Paragraphs>
  <TotalTime>4</TotalTime>
  <ScaleCrop>false</ScaleCrop>
  <LinksUpToDate>false</LinksUpToDate>
  <CharactersWithSpaces>1141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2024-12-05T05:44:01Z</dcterms:created>
  <dc:creator>98380</dc:creator>
  <cp:lastModifiedBy>无肆</cp:lastModifiedBy>
  <dcterms:modified xsi:type="dcterms:W3CDTF">2024-12-05T05:53:55Z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95868B9A74864899853977394FD48A9B</vt:lpwstr>
  </property>
</Properties>
</file>