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BA952A4">
      <w:pPr>
        <w:jc w:val="center"/>
        <w:rPr>
          <w:rFonts w:hint="default" w:eastAsiaTheme="minorEastAsia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天宁区教科研课题研究活动情况登记表</w:t>
      </w:r>
    </w:p>
    <w:tbl>
      <w:tblPr>
        <w:tblStyle w:val="3"/>
        <w:tblW w:w="853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12"/>
        <w:gridCol w:w="1122"/>
        <w:gridCol w:w="1067"/>
        <w:gridCol w:w="1067"/>
        <w:gridCol w:w="1067"/>
        <w:gridCol w:w="3203"/>
      </w:tblGrid>
      <w:tr w14:paraId="4A7A54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7" w:hRule="atLeast"/>
        </w:trPr>
        <w:tc>
          <w:tcPr>
            <w:tcW w:w="1012" w:type="dxa"/>
          </w:tcPr>
          <w:p w14:paraId="064DD904">
            <w:pPr>
              <w:ind w:firstLine="210" w:firstLineChars="100"/>
              <w:jc w:val="both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时间</w:t>
            </w:r>
          </w:p>
        </w:tc>
        <w:tc>
          <w:tcPr>
            <w:tcW w:w="1122" w:type="dxa"/>
          </w:tcPr>
          <w:p w14:paraId="71ABD637"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2024.4.28</w:t>
            </w:r>
          </w:p>
        </w:tc>
        <w:tc>
          <w:tcPr>
            <w:tcW w:w="1067" w:type="dxa"/>
          </w:tcPr>
          <w:p w14:paraId="1BBF164C"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地点</w:t>
            </w:r>
          </w:p>
        </w:tc>
        <w:tc>
          <w:tcPr>
            <w:tcW w:w="1067" w:type="dxa"/>
          </w:tcPr>
          <w:p w14:paraId="2F46BA6F"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常州东坡小学</w:t>
            </w:r>
          </w:p>
        </w:tc>
        <w:tc>
          <w:tcPr>
            <w:tcW w:w="1067" w:type="dxa"/>
          </w:tcPr>
          <w:p w14:paraId="42E89009"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参加对象</w:t>
            </w:r>
          </w:p>
        </w:tc>
        <w:tc>
          <w:tcPr>
            <w:tcW w:w="3203" w:type="dxa"/>
          </w:tcPr>
          <w:p w14:paraId="06644EE7">
            <w:pPr>
              <w:jc w:val="both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天宁区科学教师30人</w:t>
            </w:r>
          </w:p>
        </w:tc>
      </w:tr>
      <w:tr w14:paraId="7A0F55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2" w:type="dxa"/>
          </w:tcPr>
          <w:p w14:paraId="72FC682C"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主持人</w:t>
            </w:r>
          </w:p>
        </w:tc>
        <w:tc>
          <w:tcPr>
            <w:tcW w:w="1122" w:type="dxa"/>
          </w:tcPr>
          <w:p w14:paraId="44069A78"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葛恬</w:t>
            </w:r>
          </w:p>
        </w:tc>
        <w:tc>
          <w:tcPr>
            <w:tcW w:w="1067" w:type="dxa"/>
          </w:tcPr>
          <w:p w14:paraId="3E14CC58">
            <w:pPr>
              <w:jc w:val="center"/>
              <w:rPr>
                <w:rFonts w:hint="default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活动形式</w:t>
            </w:r>
          </w:p>
        </w:tc>
        <w:tc>
          <w:tcPr>
            <w:tcW w:w="5337" w:type="dxa"/>
            <w:gridSpan w:val="3"/>
          </w:tcPr>
          <w:p w14:paraId="23AAA8D2">
            <w:pPr>
              <w:jc w:val="center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研讨课</w:t>
            </w:r>
          </w:p>
        </w:tc>
      </w:tr>
      <w:tr w14:paraId="68890C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34" w:type="dxa"/>
            <w:gridSpan w:val="2"/>
          </w:tcPr>
          <w:p w14:paraId="0DBB6249">
            <w:pPr>
              <w:jc w:val="center"/>
              <w:rPr>
                <w:vertAlign w:val="baseline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研究的目的</w:t>
            </w:r>
          </w:p>
        </w:tc>
        <w:tc>
          <w:tcPr>
            <w:tcW w:w="6404" w:type="dxa"/>
            <w:gridSpan w:val="4"/>
          </w:tcPr>
          <w:p w14:paraId="3F897CE3">
            <w:pPr>
              <w:jc w:val="center"/>
              <w:rPr>
                <w:rFonts w:hint="default"/>
                <w:vertAlign w:val="baseline"/>
                <w:lang w:val="en-US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科学概念有效建构与探究方法渗透</w:t>
            </w:r>
          </w:p>
        </w:tc>
      </w:tr>
      <w:tr w14:paraId="062A87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2" w:type="dxa"/>
          </w:tcPr>
          <w:p w14:paraId="650B402F">
            <w:pPr>
              <w:rPr>
                <w:rFonts w:hint="eastAsia"/>
                <w:vertAlign w:val="baseline"/>
                <w:lang w:val="en-US" w:eastAsia="zh-CN"/>
              </w:rPr>
            </w:pPr>
          </w:p>
          <w:p w14:paraId="2FB55476">
            <w:pPr>
              <w:rPr>
                <w:rFonts w:hint="eastAsia"/>
                <w:vertAlign w:val="baseline"/>
                <w:lang w:val="en-US" w:eastAsia="zh-CN"/>
              </w:rPr>
            </w:pPr>
          </w:p>
          <w:p w14:paraId="67F67F67">
            <w:pPr>
              <w:rPr>
                <w:rFonts w:hint="eastAsia"/>
                <w:vertAlign w:val="baseline"/>
                <w:lang w:val="en-US" w:eastAsia="zh-CN"/>
              </w:rPr>
            </w:pPr>
          </w:p>
          <w:p w14:paraId="111252D0">
            <w:pPr>
              <w:rPr>
                <w:rFonts w:hint="eastAsia"/>
                <w:vertAlign w:val="baseline"/>
                <w:lang w:val="en-US" w:eastAsia="zh-CN"/>
              </w:rPr>
            </w:pPr>
          </w:p>
          <w:p w14:paraId="399DEFDD">
            <w:pPr>
              <w:rPr>
                <w:rFonts w:hint="eastAsia"/>
                <w:vertAlign w:val="baseline"/>
                <w:lang w:val="en-US" w:eastAsia="zh-CN"/>
              </w:rPr>
            </w:pPr>
          </w:p>
          <w:p w14:paraId="60DD23E4">
            <w:pPr>
              <w:rPr>
                <w:rFonts w:hint="eastAsia"/>
                <w:vertAlign w:val="baseline"/>
                <w:lang w:val="en-US" w:eastAsia="zh-CN"/>
              </w:rPr>
            </w:pPr>
          </w:p>
          <w:p w14:paraId="235E9099">
            <w:pPr>
              <w:rPr>
                <w:rFonts w:hint="eastAsia"/>
                <w:vertAlign w:val="baseline"/>
                <w:lang w:val="en-US" w:eastAsia="zh-CN"/>
              </w:rPr>
            </w:pPr>
          </w:p>
          <w:p w14:paraId="5375D928">
            <w:pPr>
              <w:rPr>
                <w:rFonts w:hint="eastAsia"/>
                <w:vertAlign w:val="baseline"/>
                <w:lang w:val="en-US" w:eastAsia="zh-CN"/>
              </w:rPr>
            </w:pPr>
          </w:p>
          <w:p w14:paraId="3B2111E2">
            <w:pPr>
              <w:rPr>
                <w:rFonts w:hint="eastAsia"/>
                <w:vertAlign w:val="baseline"/>
                <w:lang w:val="en-US" w:eastAsia="zh-CN"/>
              </w:rPr>
            </w:pPr>
          </w:p>
          <w:p w14:paraId="2B085992">
            <w:pPr>
              <w:ind w:firstLine="210" w:firstLineChars="10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主</w:t>
            </w:r>
          </w:p>
          <w:p w14:paraId="137A184C">
            <w:pPr>
              <w:ind w:firstLine="210" w:firstLineChars="10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要</w:t>
            </w:r>
          </w:p>
          <w:p w14:paraId="51E8EA0E">
            <w:pPr>
              <w:ind w:firstLine="210" w:firstLineChars="10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内</w:t>
            </w:r>
          </w:p>
          <w:p w14:paraId="64EB3117">
            <w:pPr>
              <w:ind w:firstLine="210" w:firstLineChars="100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容</w:t>
            </w:r>
          </w:p>
        </w:tc>
        <w:tc>
          <w:tcPr>
            <w:tcW w:w="7526" w:type="dxa"/>
            <w:gridSpan w:val="5"/>
          </w:tcPr>
          <w:p w14:paraId="56278D93">
            <w:pPr>
              <w:ind w:firstLine="420" w:firstLineChars="200"/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t>本课教学内容由四个活动组成。活动一:任务驱动,激发学习兴趣。让学生画一画蚂蚁,展示学生的前概念,而再通过学生不同的画法,激发学生观察的兴趣。活动二:观察蚂蚁,初步聚焦特征。学生借助放大镜、手电简仔细观察蚂蚁,修改作品,聚焦蚂蚁的外形特征,为后续</w:t>
            </w:r>
            <w:bookmarkStart w:id="0" w:name="_GoBack"/>
            <w:bookmarkEnd w:id="0"/>
            <w:r>
              <w:rPr>
                <w:rFonts w:hint="default"/>
                <w:vertAlign w:val="baseline"/>
                <w:lang w:val="en-US" w:eastAsia="zh-CN"/>
              </w:rPr>
              <w:t>更多昆虫的观察做铺垫。活动三:观察标本,归纳共同特征。观察更多昆虫标本,让学生尝试归纳昆虫相同特征,层层推进中突破重难点,活动中发展思维。由归纳到演绎,会基于昆虫的共同特征判断常见的小动物是否是昆虫,也是知识的运用。活动四:拓展延仲,了解昆虫大“家族”。通过观看视频等方式让学生了解昆虫家族之大,昆虫物种、数量减少之快,昆虫对人类作用之大,树立保护环境的责任感。</w:t>
            </w:r>
          </w:p>
          <w:p w14:paraId="3E431D9C"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/>
                <w:vertAlign w:val="baseline"/>
                <w:lang w:val="en-US" w:eastAsia="zh-CN"/>
              </w:rPr>
              <w:drawing>
                <wp:inline distT="0" distB="0" distL="114300" distR="114300">
                  <wp:extent cx="4622800" cy="2852420"/>
                  <wp:effectExtent l="0" t="0" r="0" b="0"/>
                  <wp:docPr id="1" name="图片 1" descr="Cache_-62e555e58876d96c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Cache_-62e555e58876d96c.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t="177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2800" cy="2852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D18614">
            <w:pPr>
              <w:rPr>
                <w:rFonts w:hint="default"/>
                <w:vertAlign w:val="baseline"/>
                <w:lang w:val="en-US" w:eastAsia="zh-CN"/>
              </w:rPr>
            </w:pPr>
          </w:p>
        </w:tc>
      </w:tr>
      <w:tr w14:paraId="2C521B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012" w:type="dxa"/>
          </w:tcPr>
          <w:p w14:paraId="2AD62768">
            <w:pPr>
              <w:rPr>
                <w:rFonts w:hint="eastAsia"/>
                <w:vertAlign w:val="baseline"/>
                <w:lang w:val="en-US" w:eastAsia="zh-CN"/>
              </w:rPr>
            </w:pPr>
          </w:p>
          <w:p w14:paraId="44F4F609">
            <w:pPr>
              <w:rPr>
                <w:rFonts w:hint="eastAsia"/>
                <w:vertAlign w:val="baseline"/>
                <w:lang w:val="en-US" w:eastAsia="zh-CN"/>
              </w:rPr>
            </w:pPr>
          </w:p>
          <w:p w14:paraId="0F521769">
            <w:pPr>
              <w:rPr>
                <w:rFonts w:hint="eastAsia"/>
                <w:vertAlign w:val="baseline"/>
                <w:lang w:val="en-US" w:eastAsia="zh-CN"/>
              </w:rPr>
            </w:pPr>
          </w:p>
          <w:p w14:paraId="45F4D02A">
            <w:pPr>
              <w:ind w:firstLine="210" w:firstLineChars="100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评</w:t>
            </w:r>
          </w:p>
          <w:p w14:paraId="0F93BD9A">
            <w:pPr>
              <w:ind w:firstLine="210" w:firstLineChars="100"/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价</w:t>
            </w:r>
          </w:p>
        </w:tc>
        <w:tc>
          <w:tcPr>
            <w:tcW w:w="7526" w:type="dxa"/>
            <w:gridSpan w:val="5"/>
          </w:tcPr>
          <w:p w14:paraId="7BFCB592">
            <w:pPr>
              <w:spacing w:line="360" w:lineRule="auto"/>
              <w:rPr>
                <w:rFonts w:hint="eastAsia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唐剑：《庞大的家族》一课是苏教版四年级下册第三单元的第一课,意在了解昆虫具有的共同特征,建立起昆虫的概念,认识到昆虫的“家族”的庞大。教学中,教师对教材进行了适当重构,让学生从画一画蚂蚁入手,引发冲突,激发学生进一步观察蚂蚁、归纳昆虫共同特征的兴趣。教学设计区妙形成进阶,除了知识层面的进阶,更是有资料获取方法的进阶以及态度与责任的进阶。</w:t>
            </w:r>
          </w:p>
          <w:p w14:paraId="315DBCB0">
            <w:pPr>
              <w:spacing w:line="360" w:lineRule="auto"/>
              <w:rPr>
                <w:rFonts w:hint="default" w:eastAsiaTheme="minorEastAsia"/>
                <w:vertAlign w:val="baseline"/>
                <w:lang w:val="en-US" w:eastAsia="zh-CN"/>
              </w:rPr>
            </w:pPr>
          </w:p>
        </w:tc>
      </w:tr>
    </w:tbl>
    <w:p w14:paraId="6AE583A9"/>
    <w:p w14:paraId="2359D232">
      <w:pPr>
        <w:wordWrap w:val="0"/>
        <w:jc w:val="right"/>
        <w:rPr>
          <w:rFonts w:hint="default" w:eastAsiaTheme="minorEastAsia"/>
          <w:u w:val="single"/>
          <w:lang w:val="en-US" w:eastAsia="zh-CN"/>
        </w:rPr>
      </w:pPr>
      <w:r>
        <w:rPr>
          <w:rFonts w:hint="eastAsia"/>
          <w:lang w:val="en-US" w:eastAsia="zh-CN"/>
        </w:rPr>
        <w:t>填表人：</w:t>
      </w:r>
      <w:r>
        <w:rPr>
          <w:rFonts w:hint="eastAsia"/>
          <w:u w:val="single"/>
          <w:lang w:val="en-US" w:eastAsia="zh-CN"/>
        </w:rPr>
        <w:t xml:space="preserve">   葛恬   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roma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1FE2D55"/>
    <w:rsid w:val="11FE2D55"/>
    <w:rsid w:val="63DA79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513</Words>
  <Characters>523</Characters>
  <Lines>0</Lines>
  <Paragraphs>0</Paragraphs>
  <TotalTime>5</TotalTime>
  <ScaleCrop>false</ScaleCrop>
  <LinksUpToDate>false</LinksUpToDate>
  <CharactersWithSpaces>530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2024-12-14T07:31:00Z</dcterms:created>
  <dc:creator>吴姝</dc:creator>
  <cp:lastModifiedBy>g</cp:lastModifiedBy>
  <dcterms:modified xsi:type="dcterms:W3CDTF">2024-12-14T09:51:28Z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D11BD6C419034E57B51070AC33E1B273_11</vt:lpwstr>
  </property>
</Properties>
</file>