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745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核心素养视角下小学数学实验教学策略探究</w:t>
            </w:r>
            <w:bookmarkStart w:id="0" w:name="_GoBack"/>
            <w:bookmarkEnd w:id="0"/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21B34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4062095" cy="5677535"/>
                  <wp:effectExtent l="0" t="0" r="1905" b="12065"/>
                  <wp:docPr id="1" name="图片 1" descr="核心素养视角下小学数学实验教学策略探究_陆紫娟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核心素养视角下小学数学实验教学策略探究_陆紫娟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95" cy="567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67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2C5C3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34C4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5B71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47D39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4326890" cy="6047740"/>
                  <wp:effectExtent l="0" t="0" r="3810" b="10160"/>
                  <wp:docPr id="2" name="图片 2" descr="核心素养视角下小学数学实验教学策略探究_陆紫娟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核心素养视角下小学数学实验教学策略探究_陆紫娟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890" cy="604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设计和组织有效的数学实验，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能够</w:t>
            </w:r>
            <w:r>
              <w:rPr>
                <w:rFonts w:hint="default" w:eastAsiaTheme="minorEastAsia"/>
                <w:sz w:val="24"/>
                <w:szCs w:val="24"/>
                <w:lang w:val="en-US" w:eastAsia="zh-CN"/>
              </w:rPr>
              <w:t>强化学生的数学思维，推动学生核心素养与综合素质的全面发展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。</w:t>
            </w:r>
            <w:r>
              <w:rPr>
                <w:rFonts w:ascii="宋体" w:hAnsi="宋体" w:eastAsia="宋体"/>
                <w:sz w:val="24"/>
                <w:szCs w:val="24"/>
              </w:rPr>
              <w:t>因此,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教师在数学实验</w:t>
            </w:r>
            <w:r>
              <w:rPr>
                <w:rFonts w:ascii="宋体" w:hAnsi="宋体" w:eastAsia="宋体"/>
                <w:sz w:val="24"/>
                <w:szCs w:val="24"/>
              </w:rPr>
              <w:t>实际的教学过程中,教师应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创设具有自主性、开放性和探索性的实验环境，提供多样化的实验材料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或让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学生自主设计实验方案，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激发学生的学习兴趣和主动性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。设计具有一定开放性和探索性的课题，例如，“怎样滚得远”实验中，教师可以鼓励学生在实验中尝试不同的方法和策略，如改变物体的形状、重量、起始高度等，以寻求最佳的滚动效果，有助于打破传统实验的局限性，从而为学生提供更广阔的思维空间。加强同伴评价的作用，通过小组讨论和交流，学生相互评价彼此的实验操作、合作能力和思维活跃度，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可以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建立实验档案，记录学生在不同阶段的实验表现，以便进行纵向评价和跟踪学生的发展。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S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83A6E54"/>
    <w:rsid w:val="297665B1"/>
    <w:rsid w:val="2C5B55EB"/>
    <w:rsid w:val="2CA5304B"/>
    <w:rsid w:val="2CD61452"/>
    <w:rsid w:val="351F3659"/>
    <w:rsid w:val="370903F3"/>
    <w:rsid w:val="3B6829F3"/>
    <w:rsid w:val="3B8F43A2"/>
    <w:rsid w:val="3BE42FED"/>
    <w:rsid w:val="3D2739F3"/>
    <w:rsid w:val="3D5567B2"/>
    <w:rsid w:val="3F7724BC"/>
    <w:rsid w:val="40996ECE"/>
    <w:rsid w:val="410B0BCC"/>
    <w:rsid w:val="42DE0FF8"/>
    <w:rsid w:val="456C24E3"/>
    <w:rsid w:val="46B77EF0"/>
    <w:rsid w:val="47187ACF"/>
    <w:rsid w:val="48E9262D"/>
    <w:rsid w:val="4B120E86"/>
    <w:rsid w:val="4BBE22D0"/>
    <w:rsid w:val="4C1C7BF9"/>
    <w:rsid w:val="4D0B4E9C"/>
    <w:rsid w:val="4D9F75D5"/>
    <w:rsid w:val="4F1F09CE"/>
    <w:rsid w:val="50B11C7A"/>
    <w:rsid w:val="51E952C3"/>
    <w:rsid w:val="52D34643"/>
    <w:rsid w:val="532C5467"/>
    <w:rsid w:val="53B12F01"/>
    <w:rsid w:val="556E3B96"/>
    <w:rsid w:val="56B37C4E"/>
    <w:rsid w:val="57A10251"/>
    <w:rsid w:val="5A562060"/>
    <w:rsid w:val="5AAE02EE"/>
    <w:rsid w:val="5B0C4E6B"/>
    <w:rsid w:val="5C8E2CEF"/>
    <w:rsid w:val="5D9E6EB8"/>
    <w:rsid w:val="5E135BA1"/>
    <w:rsid w:val="5FC553F9"/>
    <w:rsid w:val="61291238"/>
    <w:rsid w:val="61740BED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DBD1686"/>
    <w:rsid w:val="6DCF4F15"/>
    <w:rsid w:val="6F7F21D1"/>
    <w:rsid w:val="6FFD0874"/>
    <w:rsid w:val="70891CF3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30</Characters>
  <Lines>11</Lines>
  <Paragraphs>3</Paragraphs>
  <TotalTime>5</TotalTime>
  <ScaleCrop>false</ScaleCrop>
  <LinksUpToDate>false</LinksUpToDate>
  <CharactersWithSpaces>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2025-01-12T05:32:09Z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16FFA229BE9F448E8D67CA1E23B1C392_13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