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bookmarkStart w:id="1" w:name="_GoBack"/>
      <w:bookmarkEnd w:id="1"/>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（第二十一期）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spacing w:line="360" w:lineRule="auto"/>
        <w:jc w:val="center"/>
        <w:rPr>
          <w:rFonts w:ascii="undefined" w:hAnsi="undefined" w:eastAsia="undefined" w:cs="undefined"/>
          <w:b/>
          <w:sz w:val="24"/>
        </w:rPr>
      </w:pPr>
      <w:r>
        <w:rPr>
          <w:rFonts w:hint="eastAsia"/>
          <w:b/>
          <w:bCs/>
          <w:sz w:val="30"/>
          <w:szCs w:val="30"/>
        </w:rPr>
        <w:t>新北区大中小学思政课一体化培育室第</w:t>
      </w:r>
      <w:r>
        <w:rPr>
          <w:rFonts w:hint="eastAsia"/>
          <w:b/>
          <w:bCs/>
          <w:sz w:val="30"/>
          <w:szCs w:val="30"/>
          <w:lang w:val="en-US" w:eastAsia="zh-CN"/>
        </w:rPr>
        <w:t>二</w:t>
      </w:r>
      <w:r>
        <w:rPr>
          <w:rFonts w:hint="eastAsia"/>
          <w:b/>
          <w:bCs/>
          <w:sz w:val="30"/>
          <w:szCs w:val="30"/>
        </w:rPr>
        <w:t>十一次活动通知</w:t>
      </w:r>
    </w:p>
    <w:p>
      <w:pPr>
        <w:pStyle w:val="6"/>
        <w:widowControl/>
        <w:numPr>
          <w:ilvl w:val="0"/>
          <w:numId w:val="0"/>
        </w:numPr>
        <w:spacing w:before="0" w:beforeAutospacing="0" w:after="0" w:afterAutospacing="0" w:line="312" w:lineRule="auto"/>
        <w:ind w:left="482" w:leftChars="0" w:right="0" w:rightChars="0"/>
        <w:rPr>
          <w:rFonts w:ascii="宋体" w:hAnsi="宋体" w:cs="宋体"/>
          <w:b/>
        </w:rPr>
      </w:pPr>
      <w:r>
        <w:rPr>
          <w:rFonts w:hint="eastAsia" w:ascii="宋体" w:hAnsi="宋体" w:cs="宋体"/>
          <w:b/>
          <w:lang w:val="en-US" w:eastAsia="zh-CN"/>
        </w:rPr>
        <w:t>一、</w:t>
      </w:r>
      <w:r>
        <w:rPr>
          <w:rFonts w:hint="eastAsia" w:ascii="宋体" w:hAnsi="宋体" w:cs="宋体"/>
          <w:b/>
        </w:rPr>
        <w:t>活动理念：</w:t>
      </w:r>
    </w:p>
    <w:p>
      <w:pPr>
        <w:pStyle w:val="6"/>
        <w:widowControl/>
        <w:spacing w:before="0" w:beforeAutospacing="0" w:after="0" w:afterAutospacing="0" w:line="312" w:lineRule="auto"/>
        <w:ind w:left="482" w:firstLine="480" w:firstLineChars="200"/>
        <w:rPr>
          <w:rFonts w:hint="default" w:ascii="宋体" w:hAnsi="宋体" w:eastAsia="宋体" w:cs="宋体"/>
          <w:bCs/>
          <w:lang w:val="en-US" w:eastAsia="zh-CN"/>
        </w:rPr>
      </w:pPr>
      <w:r>
        <w:rPr>
          <w:rFonts w:hint="eastAsia" w:ascii="宋体" w:hAnsi="宋体" w:cs="宋体"/>
          <w:bCs/>
          <w:lang w:val="en-US" w:eastAsia="zh-CN"/>
        </w:rPr>
        <w:t>思政课</w:t>
      </w:r>
      <w:r>
        <w:rPr>
          <w:rFonts w:hint="eastAsia" w:ascii="宋体" w:hAnsi="宋体" w:cs="宋体"/>
          <w:bCs/>
        </w:rPr>
        <w:t>是落实立德树人根本任务的关键课程，以培育社会主义核心价值观为目的，是帮助学生确立正确的政治方向、提高思想政治学科核心素养、增强社会理解和参与能力的综合性、活动型学科课程</w:t>
      </w:r>
      <w:r>
        <w:rPr>
          <w:rFonts w:hint="eastAsia" w:ascii="宋体" w:hAnsi="宋体" w:cs="宋体"/>
          <w:bCs/>
          <w:lang w:eastAsia="zh-CN"/>
        </w:rPr>
        <w:t>。</w:t>
      </w:r>
      <w:r>
        <w:rPr>
          <w:rFonts w:hint="eastAsia" w:ascii="宋体" w:hAnsi="宋体" w:cs="宋体"/>
          <w:bCs/>
          <w:lang w:val="en-US" w:eastAsia="zh-CN"/>
        </w:rPr>
        <w:t>面对日新月异的时代变换，引导学生树立辨是非、知善恶的能力至关重要。走进现实生活，我们需正确看待塑料制品的便利与危害；迈入虚拟世界，我们需清晰明辨网络空间的精彩与诱惑。</w:t>
      </w:r>
      <w:r>
        <w:rPr>
          <w:rFonts w:hint="eastAsia" w:ascii="宋体" w:hAnsi="宋体" w:cs="宋体"/>
          <w:bCs/>
        </w:rPr>
        <w:t>本次活动</w:t>
      </w:r>
      <w:r>
        <w:rPr>
          <w:rFonts w:hint="eastAsia" w:ascii="宋体" w:hAnsi="宋体" w:cs="宋体"/>
          <w:bCs/>
          <w:lang w:val="en-US" w:eastAsia="zh-CN"/>
        </w:rPr>
        <w:t>聚焦学生的健康成长，从生活细微出发，以培养学生明辨是非的观念，进而发挥道德与法治课程立德树人的育人功能</w:t>
      </w:r>
      <w:r>
        <w:rPr>
          <w:rFonts w:hint="eastAsia" w:ascii="宋体" w:hAnsi="宋体" w:cs="宋体"/>
          <w:bCs/>
        </w:rPr>
        <w:t>。</w:t>
      </w:r>
    </w:p>
    <w:p>
      <w:pPr>
        <w:pStyle w:val="6"/>
        <w:widowControl/>
        <w:numPr>
          <w:ilvl w:val="0"/>
          <w:numId w:val="0"/>
        </w:numPr>
        <w:spacing w:before="0" w:beforeAutospacing="0" w:after="0" w:afterAutospacing="0" w:line="312" w:lineRule="auto"/>
        <w:ind w:left="482" w:leftChars="0" w:right="0" w:rightChars="0"/>
        <w:rPr>
          <w:rFonts w:hint="default" w:ascii="宋体" w:hAnsi="宋体" w:eastAsia="宋体" w:cs="宋体"/>
          <w:b w:val="0"/>
          <w:bCs/>
          <w:lang w:val="en-US" w:eastAsia="zh-CN"/>
        </w:rPr>
      </w:pPr>
      <w:r>
        <w:rPr>
          <w:rFonts w:hint="eastAsia" w:ascii="宋体" w:hAnsi="宋体" w:cs="宋体"/>
          <w:b/>
          <w:lang w:val="en-US" w:eastAsia="zh-CN"/>
        </w:rPr>
        <w:t>二、</w:t>
      </w:r>
      <w:r>
        <w:rPr>
          <w:rFonts w:hint="eastAsia" w:ascii="宋体" w:hAnsi="宋体" w:cs="宋体"/>
          <w:b/>
        </w:rPr>
        <w:t>活动</w:t>
      </w:r>
      <w:r>
        <w:rPr>
          <w:rFonts w:hint="eastAsia" w:ascii="宋体" w:hAnsi="宋体" w:cs="宋体"/>
          <w:b/>
          <w:lang w:val="en-US" w:eastAsia="zh-CN"/>
        </w:rPr>
        <w:t>主题</w:t>
      </w:r>
      <w:r>
        <w:rPr>
          <w:rFonts w:hint="eastAsia" w:ascii="宋体" w:hAnsi="宋体" w:cs="宋体"/>
          <w:b/>
        </w:rPr>
        <w:t>：</w:t>
      </w:r>
      <w:r>
        <w:rPr>
          <w:rFonts w:hint="eastAsia" w:ascii="宋体" w:hAnsi="宋体" w:cs="宋体"/>
          <w:b w:val="0"/>
          <w:bCs/>
          <w:lang w:val="en-US" w:eastAsia="zh-CN"/>
        </w:rPr>
        <w:t>辨是非以立德</w:t>
      </w:r>
    </w:p>
    <w:p>
      <w:pPr>
        <w:pStyle w:val="6"/>
        <w:widowControl/>
        <w:numPr>
          <w:ilvl w:val="0"/>
          <w:numId w:val="0"/>
        </w:numPr>
        <w:spacing w:before="0" w:beforeAutospacing="0" w:after="0" w:afterAutospacing="0" w:line="312" w:lineRule="auto"/>
        <w:ind w:left="482" w:leftChars="0" w:right="0" w:rightChars="0"/>
        <w:rPr>
          <w:rFonts w:hint="eastAsia" w:ascii="宋体" w:hAnsi="宋体" w:cs="宋体"/>
        </w:rPr>
      </w:pPr>
      <w:r>
        <w:rPr>
          <w:rFonts w:hint="eastAsia" w:ascii="宋体" w:hAnsi="宋体" w:cs="宋体"/>
          <w:b/>
          <w:bCs/>
          <w:lang w:val="en-US" w:eastAsia="zh-CN"/>
        </w:rPr>
        <w:t>三、活动时间：</w:t>
      </w:r>
      <w:r>
        <w:rPr>
          <w:rFonts w:hint="eastAsia" w:ascii="宋体" w:hAnsi="宋体" w:cs="宋体"/>
        </w:rPr>
        <w:t>2024年</w:t>
      </w:r>
      <w:r>
        <w:rPr>
          <w:rFonts w:hint="eastAsia" w:ascii="宋体" w:hAnsi="宋体" w:cs="宋体"/>
          <w:lang w:val="en-US" w:eastAsia="zh-CN"/>
        </w:rPr>
        <w:t>10</w:t>
      </w:r>
      <w:r>
        <w:rPr>
          <w:rFonts w:hint="eastAsia" w:ascii="宋体" w:hAnsi="宋体" w:cs="宋体"/>
        </w:rPr>
        <w:t>月</w:t>
      </w:r>
      <w:r>
        <w:rPr>
          <w:rFonts w:hint="eastAsia" w:ascii="宋体" w:hAnsi="宋体" w:cs="宋体"/>
          <w:lang w:val="en-US" w:eastAsia="zh-CN"/>
        </w:rPr>
        <w:t>17</w:t>
      </w:r>
      <w:r>
        <w:rPr>
          <w:rFonts w:hint="eastAsia" w:ascii="宋体" w:hAnsi="宋体" w:cs="宋体"/>
        </w:rPr>
        <w:t>日（周</w:t>
      </w:r>
      <w:r>
        <w:rPr>
          <w:rFonts w:hint="eastAsia" w:ascii="宋体" w:hAnsi="宋体" w:cs="宋体"/>
          <w:lang w:val="en-US" w:eastAsia="zh-CN"/>
        </w:rPr>
        <w:t>四</w:t>
      </w:r>
      <w:r>
        <w:rPr>
          <w:rFonts w:hint="eastAsia" w:ascii="宋体" w:hAnsi="宋体" w:cs="宋体"/>
        </w:rPr>
        <w:t>）下午</w:t>
      </w:r>
    </w:p>
    <w:p>
      <w:pPr>
        <w:pStyle w:val="6"/>
        <w:widowControl/>
        <w:spacing w:before="0" w:beforeAutospacing="0" w:after="0" w:afterAutospacing="0" w:line="312" w:lineRule="auto"/>
        <w:ind w:firstLine="480" w:firstLineChars="200"/>
        <w:rPr>
          <w:rFonts w:hint="default" w:ascii="宋体" w:hAnsi="宋体" w:eastAsia="宋体" w:cs="宋体"/>
          <w:lang w:val="en-US" w:eastAsia="zh-CN"/>
        </w:rPr>
      </w:pPr>
      <w:r>
        <w:rPr>
          <w:rFonts w:hint="eastAsia" w:ascii="宋体" w:hAnsi="宋体" w:cs="宋体"/>
          <w:b/>
          <w:lang w:val="en-US" w:eastAsia="zh-CN"/>
        </w:rPr>
        <w:t>四</w:t>
      </w:r>
      <w:r>
        <w:rPr>
          <w:rFonts w:hint="eastAsia" w:ascii="宋体" w:hAnsi="宋体" w:cs="宋体"/>
          <w:b/>
        </w:rPr>
        <w:t>、活动地点：</w:t>
      </w:r>
      <w:r>
        <w:rPr>
          <w:rFonts w:hint="eastAsia" w:ascii="宋体" w:hAnsi="宋体" w:cs="宋体"/>
          <w:b w:val="0"/>
          <w:bCs/>
          <w:lang w:val="en-US" w:eastAsia="zh-CN"/>
        </w:rPr>
        <w:t>新北区</w:t>
      </w:r>
      <w:r>
        <w:rPr>
          <w:rFonts w:hint="eastAsia" w:ascii="宋体" w:hAnsi="宋体" w:cs="宋体"/>
        </w:rPr>
        <w:t>三井实验小学</w:t>
      </w:r>
      <w:r>
        <w:rPr>
          <w:rFonts w:hint="eastAsia" w:ascii="宋体" w:hAnsi="宋体" w:cs="宋体"/>
          <w:lang w:eastAsia="zh-CN"/>
        </w:rPr>
        <w:t>（</w:t>
      </w:r>
      <w:r>
        <w:rPr>
          <w:rFonts w:hint="eastAsia" w:ascii="宋体" w:hAnsi="宋体" w:cs="宋体"/>
          <w:lang w:val="en-US" w:eastAsia="zh-CN"/>
        </w:rPr>
        <w:t>中央花园校区）</w:t>
      </w:r>
    </w:p>
    <w:p>
      <w:pPr>
        <w:pStyle w:val="6"/>
        <w:widowControl/>
        <w:spacing w:before="0" w:beforeAutospacing="0" w:after="0" w:afterAutospacing="0" w:line="312" w:lineRule="auto"/>
        <w:ind w:firstLine="480" w:firstLineChars="200"/>
        <w:rPr>
          <w:rFonts w:hint="eastAsia" w:ascii="宋体" w:hAnsi="宋体" w:cs="宋体"/>
        </w:rPr>
      </w:pPr>
      <w:r>
        <w:rPr>
          <w:rFonts w:hint="eastAsia" w:ascii="宋体" w:hAnsi="宋体" w:cs="宋体"/>
          <w:b/>
          <w:lang w:val="en-US" w:eastAsia="zh-CN"/>
        </w:rPr>
        <w:t>五</w:t>
      </w:r>
      <w:r>
        <w:rPr>
          <w:rFonts w:hint="eastAsia" w:ascii="宋体" w:hAnsi="宋体" w:cs="宋体"/>
          <w:b/>
        </w:rPr>
        <w:t>、参加人员：</w:t>
      </w:r>
      <w:r>
        <w:rPr>
          <w:rFonts w:hint="eastAsia" w:ascii="宋体" w:hAnsi="宋体" w:cs="宋体"/>
        </w:rPr>
        <w:t>新北区大中小学思政课一体化培育室全体成员</w:t>
      </w:r>
    </w:p>
    <w:p>
      <w:pPr>
        <w:spacing w:line="312" w:lineRule="auto"/>
        <w:ind w:firstLine="480" w:firstLineChars="200"/>
        <w:rPr>
          <w:rFonts w:hint="eastAsia" w:ascii="宋体" w:hAnsi="宋体" w:cs="宋体"/>
          <w:b/>
          <w:bCs/>
          <w:sz w:val="24"/>
        </w:rPr>
      </w:pPr>
      <w:r>
        <w:rPr>
          <w:rFonts w:hint="eastAsia" w:ascii="宋体" w:hAnsi="宋体" w:cs="宋体"/>
          <w:b/>
          <w:bCs/>
          <w:sz w:val="24"/>
          <w:lang w:val="en-US" w:eastAsia="zh-CN"/>
        </w:rPr>
        <w:t>六</w:t>
      </w:r>
      <w:r>
        <w:rPr>
          <w:rFonts w:hint="eastAsia" w:ascii="宋体" w:hAnsi="宋体" w:cs="宋体"/>
          <w:b/>
          <w:bCs/>
          <w:sz w:val="24"/>
        </w:rPr>
        <w:t>、活动流程</w:t>
      </w:r>
    </w:p>
    <w:tbl>
      <w:tblPr>
        <w:tblStyle w:val="7"/>
        <w:tblW w:w="9852"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557"/>
        <w:gridCol w:w="3850"/>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528"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环节</w:t>
            </w:r>
          </w:p>
        </w:tc>
        <w:tc>
          <w:tcPr>
            <w:tcW w:w="1557"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时间</w:t>
            </w:r>
          </w:p>
        </w:tc>
        <w:tc>
          <w:tcPr>
            <w:tcW w:w="3850"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内容</w:t>
            </w:r>
          </w:p>
        </w:tc>
        <w:tc>
          <w:tcPr>
            <w:tcW w:w="2917"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1528" w:type="dxa"/>
            <w:vMerge w:val="restart"/>
            <w:noWrap w:val="0"/>
            <w:vAlign w:val="center"/>
          </w:tcPr>
          <w:p>
            <w:pPr>
              <w:spacing w:line="312" w:lineRule="auto"/>
              <w:jc w:val="center"/>
              <w:rPr>
                <w:rFonts w:hint="eastAsia" w:ascii="宋体" w:hAnsi="宋体" w:cs="宋体"/>
                <w:sz w:val="24"/>
              </w:rPr>
            </w:pPr>
            <w:r>
              <w:rPr>
                <w:rFonts w:hint="eastAsia" w:ascii="宋体" w:hAnsi="宋体" w:cs="宋体"/>
                <w:sz w:val="24"/>
              </w:rPr>
              <w:t>【环节一】</w:t>
            </w:r>
          </w:p>
          <w:p>
            <w:pPr>
              <w:spacing w:line="312" w:lineRule="auto"/>
              <w:jc w:val="center"/>
              <w:rPr>
                <w:rFonts w:hint="eastAsia" w:ascii="宋体" w:hAnsi="宋体" w:cs="宋体"/>
                <w:sz w:val="24"/>
              </w:rPr>
            </w:pPr>
            <w:r>
              <w:rPr>
                <w:rFonts w:hint="eastAsia" w:ascii="宋体" w:hAnsi="宋体" w:cs="宋体"/>
                <w:sz w:val="24"/>
              </w:rPr>
              <w:t>课堂思政</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13:00-13:40</w:t>
            </w:r>
          </w:p>
        </w:tc>
        <w:tc>
          <w:tcPr>
            <w:tcW w:w="3850" w:type="dxa"/>
            <w:noWrap w:val="0"/>
            <w:vAlign w:val="center"/>
          </w:tcPr>
          <w:p>
            <w:pPr>
              <w:spacing w:line="312" w:lineRule="auto"/>
              <w:jc w:val="center"/>
              <w:rPr>
                <w:rFonts w:hint="eastAsia" w:ascii="宋体" w:hAnsi="宋体" w:cs="宋体"/>
                <w:sz w:val="24"/>
              </w:rPr>
            </w:pPr>
            <w:r>
              <w:rPr>
                <w:rFonts w:hint="eastAsia" w:ascii="宋体" w:hAnsi="宋体" w:cs="宋体"/>
                <w:sz w:val="24"/>
                <w:lang w:val="en-US" w:eastAsia="zh-CN"/>
              </w:rPr>
              <w:t>四</w:t>
            </w:r>
            <w:r>
              <w:rPr>
                <w:rFonts w:hint="eastAsia" w:ascii="宋体" w:hAnsi="宋体" w:cs="宋体"/>
                <w:sz w:val="24"/>
              </w:rPr>
              <w:t>年级《</w:t>
            </w:r>
            <w:r>
              <w:rPr>
                <w:rFonts w:ascii="宋体" w:hAnsi="宋体" w:eastAsia="宋体" w:cs="宋体"/>
                <w:sz w:val="24"/>
                <w:szCs w:val="24"/>
              </w:rPr>
              <w:t>我们所了解的环境污染</w:t>
            </w:r>
            <w:r>
              <w:rPr>
                <w:rFonts w:hint="eastAsia" w:ascii="宋体" w:hAnsi="宋体" w:cs="宋体"/>
                <w:sz w:val="24"/>
              </w:rPr>
              <w:t xml:space="preserve">》 </w:t>
            </w:r>
          </w:p>
        </w:tc>
        <w:tc>
          <w:tcPr>
            <w:tcW w:w="2917" w:type="dxa"/>
            <w:noWrap w:val="0"/>
            <w:vAlign w:val="center"/>
          </w:tcPr>
          <w:p>
            <w:pPr>
              <w:spacing w:line="312" w:lineRule="auto"/>
              <w:jc w:val="center"/>
              <w:rPr>
                <w:rFonts w:hint="eastAsia" w:ascii="宋体" w:hAnsi="宋体" w:eastAsia="宋体" w:cs="宋体"/>
                <w:sz w:val="24"/>
                <w:lang w:eastAsia="zh-CN"/>
              </w:rPr>
            </w:pPr>
            <w:r>
              <w:rPr>
                <w:rFonts w:hint="eastAsia" w:ascii="宋体" w:hAnsi="宋体" w:cs="宋体"/>
                <w:sz w:val="24"/>
                <w:lang w:val="en-US" w:eastAsia="zh-CN"/>
              </w:rPr>
              <w:t>三井实验小学</w:t>
            </w:r>
            <w:r>
              <w:rPr>
                <w:rFonts w:hint="eastAsia" w:ascii="宋体" w:hAnsi="宋体" w:cs="宋体"/>
                <w:sz w:val="24"/>
              </w:rPr>
              <w:t xml:space="preserve"> </w:t>
            </w:r>
            <w:r>
              <w:rPr>
                <w:rFonts w:hint="eastAsia" w:ascii="宋体" w:hAnsi="宋体" w:cs="宋体"/>
                <w:sz w:val="24"/>
                <w:lang w:val="en-US" w:eastAsia="zh-CN"/>
              </w:rPr>
              <w:t>钱琪瑶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1528" w:type="dxa"/>
            <w:vMerge w:val="continue"/>
            <w:noWrap w:val="0"/>
            <w:vAlign w:val="center"/>
          </w:tcPr>
          <w:p>
            <w:pPr>
              <w:spacing w:line="312" w:lineRule="auto"/>
              <w:jc w:val="center"/>
              <w:rPr>
                <w:rFonts w:hint="eastAsia" w:ascii="宋体" w:hAnsi="宋体" w:cs="宋体"/>
                <w:sz w:val="24"/>
              </w:rPr>
            </w:pP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13:</w:t>
            </w:r>
            <w:r>
              <w:rPr>
                <w:rFonts w:hint="eastAsia" w:ascii="宋体" w:hAnsi="宋体" w:cs="宋体"/>
                <w:sz w:val="24"/>
                <w:lang w:val="en-US" w:eastAsia="zh-CN"/>
              </w:rPr>
              <w:t>55</w:t>
            </w:r>
            <w:r>
              <w:rPr>
                <w:rFonts w:hint="eastAsia" w:ascii="宋体" w:hAnsi="宋体" w:cs="宋体"/>
                <w:sz w:val="24"/>
              </w:rPr>
              <w:t>-14:35</w:t>
            </w:r>
          </w:p>
        </w:tc>
        <w:tc>
          <w:tcPr>
            <w:tcW w:w="3850" w:type="dxa"/>
            <w:noWrap w:val="0"/>
            <w:vAlign w:val="center"/>
          </w:tcPr>
          <w:p>
            <w:pPr>
              <w:spacing w:line="312" w:lineRule="auto"/>
              <w:jc w:val="center"/>
              <w:rPr>
                <w:rFonts w:hint="eastAsia" w:ascii="宋体" w:hAnsi="宋体" w:cs="宋体"/>
                <w:sz w:val="24"/>
              </w:rPr>
            </w:pPr>
            <w:r>
              <w:rPr>
                <w:rFonts w:hint="eastAsia" w:ascii="宋体" w:hAnsi="宋体" w:cs="宋体"/>
                <w:sz w:val="24"/>
                <w:lang w:val="en-US" w:eastAsia="zh-CN"/>
              </w:rPr>
              <w:t>四年级</w:t>
            </w:r>
            <w:r>
              <w:rPr>
                <w:rFonts w:hint="eastAsia" w:ascii="宋体" w:hAnsi="宋体" w:cs="宋体"/>
                <w:sz w:val="24"/>
              </w:rPr>
              <w:t>《</w:t>
            </w:r>
            <w:r>
              <w:rPr>
                <w:rFonts w:ascii="宋体" w:hAnsi="宋体" w:eastAsia="宋体" w:cs="宋体"/>
                <w:sz w:val="24"/>
                <w:szCs w:val="24"/>
              </w:rPr>
              <w:t>网络新世界</w:t>
            </w:r>
            <w:r>
              <w:rPr>
                <w:rFonts w:hint="eastAsia" w:ascii="宋体" w:hAnsi="宋体" w:cs="宋体"/>
                <w:sz w:val="24"/>
              </w:rPr>
              <w:t>》</w:t>
            </w:r>
          </w:p>
        </w:tc>
        <w:tc>
          <w:tcPr>
            <w:tcW w:w="2917" w:type="dxa"/>
            <w:noWrap w:val="0"/>
            <w:vAlign w:val="center"/>
          </w:tcPr>
          <w:p>
            <w:pPr>
              <w:spacing w:line="312" w:lineRule="auto"/>
              <w:jc w:val="center"/>
              <w:rPr>
                <w:rFonts w:hint="default" w:ascii="宋体" w:hAnsi="宋体" w:eastAsia="宋体" w:cs="宋体"/>
                <w:sz w:val="24"/>
                <w:lang w:val="en-US" w:eastAsia="zh-CN"/>
              </w:rPr>
            </w:pPr>
            <w:r>
              <w:rPr>
                <w:rFonts w:hint="eastAsia" w:ascii="宋体" w:hAnsi="宋体" w:cs="宋体"/>
                <w:sz w:val="24"/>
                <w:lang w:val="en-US" w:eastAsia="zh-CN"/>
              </w:rPr>
              <w:t>新桥第二实验小学 金珂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528" w:type="dxa"/>
            <w:noWrap w:val="0"/>
            <w:vAlign w:val="center"/>
          </w:tcPr>
          <w:p>
            <w:pPr>
              <w:spacing w:line="312" w:lineRule="auto"/>
              <w:jc w:val="center"/>
              <w:rPr>
                <w:rFonts w:hint="eastAsia" w:ascii="宋体" w:hAnsi="宋体" w:cs="宋体"/>
                <w:sz w:val="24"/>
              </w:rPr>
            </w:pPr>
            <w:r>
              <w:rPr>
                <w:rFonts w:hint="eastAsia" w:ascii="宋体" w:hAnsi="宋体" w:cs="宋体"/>
                <w:sz w:val="24"/>
              </w:rPr>
              <w:t>【环节二】</w:t>
            </w:r>
          </w:p>
          <w:p>
            <w:pPr>
              <w:spacing w:line="312" w:lineRule="auto"/>
              <w:jc w:val="center"/>
              <w:rPr>
                <w:rFonts w:ascii="宋体" w:hAnsi="宋体" w:cs="宋体"/>
                <w:sz w:val="24"/>
              </w:rPr>
            </w:pPr>
            <w:r>
              <w:rPr>
                <w:rFonts w:hint="eastAsia" w:ascii="宋体" w:hAnsi="宋体" w:cs="宋体"/>
                <w:sz w:val="24"/>
              </w:rPr>
              <w:t>思政学习</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14:40-14:50</w:t>
            </w:r>
          </w:p>
        </w:tc>
        <w:tc>
          <w:tcPr>
            <w:tcW w:w="3850" w:type="dxa"/>
            <w:noWrap w:val="0"/>
            <w:vAlign w:val="center"/>
          </w:tcPr>
          <w:p>
            <w:pPr>
              <w:spacing w:line="312" w:lineRule="auto"/>
              <w:jc w:val="center"/>
              <w:rPr>
                <w:rFonts w:hint="default" w:ascii="宋体" w:hAnsi="宋体" w:eastAsia="宋体" w:cs="宋体"/>
                <w:color w:val="000000"/>
                <w:sz w:val="24"/>
                <w:lang w:val="en-US" w:eastAsia="zh-CN"/>
              </w:rPr>
            </w:pPr>
            <w:r>
              <w:rPr>
                <w:rFonts w:ascii="宋体" w:hAnsi="宋体" w:cs="宋体"/>
                <w:sz w:val="24"/>
              </w:rPr>
              <w:t>《</w:t>
            </w:r>
            <w:r>
              <w:rPr>
                <w:rFonts w:hint="eastAsia" w:ascii="宋体" w:hAnsi="宋体" w:cs="宋体"/>
                <w:sz w:val="24"/>
                <w:lang w:val="en-US" w:eastAsia="zh-CN"/>
              </w:rPr>
              <w:t>法治的细节</w:t>
            </w:r>
            <w:r>
              <w:rPr>
                <w:rFonts w:ascii="宋体" w:hAnsi="宋体" w:cs="宋体"/>
                <w:sz w:val="24"/>
              </w:rPr>
              <w:t>》</w:t>
            </w:r>
            <w:r>
              <w:rPr>
                <w:rFonts w:hint="eastAsia" w:ascii="宋体" w:hAnsi="宋体" w:cs="宋体"/>
                <w:sz w:val="24"/>
                <w:lang w:val="en-US" w:eastAsia="zh-CN"/>
              </w:rPr>
              <w:t>阅读分享</w:t>
            </w:r>
          </w:p>
        </w:tc>
        <w:tc>
          <w:tcPr>
            <w:tcW w:w="2917" w:type="dxa"/>
            <w:noWrap w:val="0"/>
            <w:vAlign w:val="center"/>
          </w:tcPr>
          <w:p>
            <w:pPr>
              <w:spacing w:line="312" w:lineRule="auto"/>
              <w:jc w:val="center"/>
              <w:rPr>
                <w:rFonts w:hint="default" w:ascii="宋体" w:hAnsi="宋体" w:cs="宋体"/>
                <w:color w:val="000000"/>
                <w:sz w:val="24"/>
                <w:lang w:val="en-US"/>
              </w:rPr>
            </w:pPr>
            <w:r>
              <w:rPr>
                <w:rFonts w:hint="eastAsia" w:ascii="宋体" w:hAnsi="宋体" w:cs="宋体"/>
                <w:sz w:val="24"/>
                <w:lang w:val="en-US" w:eastAsia="zh-CN"/>
              </w:rPr>
              <w:t>奔牛高级中学 罗慧芳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528" w:type="dxa"/>
            <w:noWrap w:val="0"/>
            <w:vAlign w:val="center"/>
          </w:tcPr>
          <w:p>
            <w:pPr>
              <w:spacing w:line="312" w:lineRule="auto"/>
              <w:jc w:val="center"/>
              <w:rPr>
                <w:rFonts w:hint="eastAsia" w:ascii="宋体" w:hAnsi="宋体" w:cs="宋体"/>
                <w:sz w:val="24"/>
              </w:rPr>
            </w:pPr>
            <w:r>
              <w:rPr>
                <w:rFonts w:hint="eastAsia" w:ascii="宋体" w:hAnsi="宋体" w:cs="宋体"/>
                <w:sz w:val="24"/>
              </w:rPr>
              <w:t>【环节三】</w:t>
            </w:r>
          </w:p>
          <w:p>
            <w:pPr>
              <w:spacing w:line="312" w:lineRule="auto"/>
              <w:jc w:val="center"/>
              <w:rPr>
                <w:rFonts w:hint="eastAsia" w:ascii="宋体" w:hAnsi="宋体" w:cs="宋体"/>
                <w:sz w:val="24"/>
              </w:rPr>
            </w:pPr>
            <w:r>
              <w:rPr>
                <w:rFonts w:hint="eastAsia" w:ascii="宋体" w:hAnsi="宋体" w:cs="宋体"/>
                <w:sz w:val="24"/>
              </w:rPr>
              <w:t>活动分享</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14:50-15:00</w:t>
            </w:r>
          </w:p>
        </w:tc>
        <w:tc>
          <w:tcPr>
            <w:tcW w:w="3850" w:type="dxa"/>
            <w:noWrap w:val="0"/>
            <w:vAlign w:val="center"/>
          </w:tcPr>
          <w:p>
            <w:pPr>
              <w:spacing w:line="312" w:lineRule="auto"/>
              <w:jc w:val="center"/>
              <w:rPr>
                <w:rFonts w:hint="eastAsia" w:ascii="宋体" w:hAnsi="宋体" w:eastAsia="宋体" w:cs="宋体"/>
                <w:color w:val="000000"/>
                <w:sz w:val="24"/>
                <w:lang w:eastAsia="zh-CN"/>
              </w:rPr>
            </w:pPr>
            <w:r>
              <w:rPr>
                <w:rFonts w:hint="eastAsia" w:ascii="宋体" w:hAnsi="宋体" w:eastAsia="宋体" w:cs="宋体"/>
                <w:sz w:val="24"/>
                <w:szCs w:val="24"/>
                <w:lang w:eastAsia="zh-CN"/>
              </w:rPr>
              <w:t>《</w:t>
            </w:r>
            <w:r>
              <w:rPr>
                <w:rFonts w:ascii="宋体" w:hAnsi="宋体" w:eastAsia="宋体" w:cs="宋体"/>
                <w:sz w:val="24"/>
                <w:szCs w:val="24"/>
              </w:rPr>
              <w:t>结合地方资源，强化政治引领</w:t>
            </w:r>
            <w:r>
              <w:rPr>
                <w:rFonts w:hint="eastAsia" w:ascii="宋体" w:hAnsi="宋体" w:eastAsia="宋体" w:cs="宋体"/>
                <w:sz w:val="24"/>
                <w:szCs w:val="24"/>
                <w:lang w:eastAsia="zh-CN"/>
              </w:rPr>
              <w:t>》</w:t>
            </w:r>
          </w:p>
        </w:tc>
        <w:tc>
          <w:tcPr>
            <w:tcW w:w="2917" w:type="dxa"/>
            <w:noWrap w:val="0"/>
            <w:vAlign w:val="center"/>
          </w:tcPr>
          <w:p>
            <w:pPr>
              <w:spacing w:line="312" w:lineRule="auto"/>
              <w:rPr>
                <w:rFonts w:ascii="宋体" w:hAnsi="宋体" w:cs="宋体"/>
                <w:color w:val="000000"/>
                <w:sz w:val="24"/>
              </w:rPr>
            </w:pPr>
            <w:r>
              <w:rPr>
                <w:rFonts w:hint="eastAsia" w:ascii="宋体" w:hAnsi="宋体" w:cs="宋体"/>
                <w:sz w:val="24"/>
                <w:lang w:val="en-US" w:eastAsia="zh-CN"/>
              </w:rPr>
              <w:t>三井实验小学</w:t>
            </w:r>
            <w:r>
              <w:rPr>
                <w:rFonts w:hint="eastAsia" w:ascii="宋体" w:hAnsi="宋体" w:cs="宋体"/>
                <w:sz w:val="24"/>
              </w:rPr>
              <w:t xml:space="preserve"> </w:t>
            </w:r>
            <w:r>
              <w:rPr>
                <w:rFonts w:hint="eastAsia" w:ascii="宋体" w:hAnsi="宋体" w:cs="宋体"/>
                <w:sz w:val="24"/>
                <w:lang w:val="en-US" w:eastAsia="zh-CN"/>
              </w:rPr>
              <w:t>钱琪瑶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1" w:hRule="atLeast"/>
        </w:trPr>
        <w:tc>
          <w:tcPr>
            <w:tcW w:w="1528" w:type="dxa"/>
            <w:noWrap w:val="0"/>
            <w:vAlign w:val="center"/>
          </w:tcPr>
          <w:p>
            <w:pPr>
              <w:spacing w:line="312" w:lineRule="auto"/>
              <w:jc w:val="center"/>
              <w:rPr>
                <w:rFonts w:hint="eastAsia" w:ascii="宋体" w:hAnsi="宋体" w:cs="宋体"/>
                <w:sz w:val="24"/>
              </w:rPr>
            </w:pPr>
            <w:r>
              <w:rPr>
                <w:rFonts w:hint="eastAsia" w:ascii="宋体" w:hAnsi="宋体" w:cs="宋体"/>
                <w:sz w:val="24"/>
              </w:rPr>
              <w:t>【环节四】</w:t>
            </w:r>
          </w:p>
          <w:p>
            <w:pPr>
              <w:spacing w:line="312" w:lineRule="auto"/>
              <w:jc w:val="center"/>
              <w:rPr>
                <w:rFonts w:ascii="宋体" w:hAnsi="宋体" w:cs="宋体"/>
                <w:sz w:val="24"/>
              </w:rPr>
            </w:pPr>
            <w:r>
              <w:rPr>
                <w:rFonts w:hint="eastAsia" w:ascii="宋体" w:hAnsi="宋体" w:cs="宋体"/>
                <w:sz w:val="24"/>
              </w:rPr>
              <w:t>沙龙研讨</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15:00-15:40</w:t>
            </w:r>
          </w:p>
        </w:tc>
        <w:tc>
          <w:tcPr>
            <w:tcW w:w="3850"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教师说课、评课</w:t>
            </w:r>
          </w:p>
        </w:tc>
        <w:tc>
          <w:tcPr>
            <w:tcW w:w="2917"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培育室全体成员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528" w:type="dxa"/>
            <w:noWrap w:val="0"/>
            <w:vAlign w:val="center"/>
          </w:tcPr>
          <w:p>
            <w:pPr>
              <w:spacing w:line="312" w:lineRule="auto"/>
              <w:jc w:val="center"/>
              <w:rPr>
                <w:rFonts w:hint="eastAsia" w:ascii="宋体" w:hAnsi="宋体" w:cs="宋体"/>
                <w:sz w:val="24"/>
              </w:rPr>
            </w:pPr>
            <w:r>
              <w:rPr>
                <w:rFonts w:hint="eastAsia" w:ascii="宋体" w:hAnsi="宋体" w:cs="宋体"/>
                <w:sz w:val="24"/>
              </w:rPr>
              <w:t>【环节五】</w:t>
            </w:r>
          </w:p>
          <w:p>
            <w:pPr>
              <w:spacing w:line="312" w:lineRule="auto"/>
              <w:jc w:val="center"/>
              <w:rPr>
                <w:rFonts w:hint="eastAsia" w:ascii="宋体" w:hAnsi="宋体" w:cs="宋体"/>
                <w:sz w:val="24"/>
              </w:rPr>
            </w:pPr>
            <w:r>
              <w:rPr>
                <w:rFonts w:hint="eastAsia" w:ascii="宋体" w:hAnsi="宋体" w:cs="宋体"/>
                <w:sz w:val="24"/>
              </w:rPr>
              <w:t>引领提升</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15:40-16:30</w:t>
            </w:r>
          </w:p>
        </w:tc>
        <w:tc>
          <w:tcPr>
            <w:tcW w:w="3850"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总结提升、专家引领</w:t>
            </w:r>
          </w:p>
        </w:tc>
        <w:tc>
          <w:tcPr>
            <w:tcW w:w="2917"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 xml:space="preserve"> 吴海燕  </w:t>
            </w:r>
          </w:p>
        </w:tc>
      </w:tr>
    </w:tbl>
    <w:p>
      <w:pPr>
        <w:spacing w:line="312" w:lineRule="auto"/>
        <w:ind w:firstLine="480" w:firstLineChars="200"/>
        <w:rPr>
          <w:rFonts w:hint="eastAsia" w:ascii="宋体" w:hAnsi="宋体" w:cs="宋体"/>
          <w:b/>
          <w:bCs/>
          <w:sz w:val="24"/>
        </w:rPr>
      </w:pPr>
      <w:r>
        <w:rPr>
          <w:rFonts w:hint="eastAsia" w:ascii="宋体" w:hAnsi="宋体" w:cs="宋体"/>
          <w:b/>
          <w:bCs/>
          <w:sz w:val="24"/>
        </w:rPr>
        <w:t>七、其他安排</w:t>
      </w:r>
    </w:p>
    <w:p>
      <w:pPr>
        <w:spacing w:line="312" w:lineRule="auto"/>
        <w:ind w:firstLine="420"/>
        <w:rPr>
          <w:rFonts w:hint="eastAsia" w:ascii="宋体" w:hAnsi="宋体" w:cs="宋体"/>
          <w:sz w:val="24"/>
        </w:rPr>
      </w:pPr>
      <w:r>
        <w:rPr>
          <w:rFonts w:hint="eastAsia" w:ascii="宋体" w:hAnsi="宋体" w:cs="宋体"/>
          <w:sz w:val="24"/>
        </w:rPr>
        <w:t>1.活动组织、主持：吴海燕</w:t>
      </w:r>
    </w:p>
    <w:p>
      <w:pPr>
        <w:spacing w:line="312" w:lineRule="auto"/>
        <w:ind w:firstLine="420"/>
        <w:rPr>
          <w:rFonts w:hint="eastAsia" w:ascii="宋体" w:hAnsi="宋体" w:eastAsia="宋体" w:cs="宋体"/>
          <w:sz w:val="24"/>
          <w:lang w:eastAsia="zh-CN"/>
        </w:rPr>
      </w:pPr>
      <w:r>
        <w:rPr>
          <w:rFonts w:hint="eastAsia" w:ascii="宋体" w:hAnsi="宋体" w:cs="宋体"/>
          <w:sz w:val="24"/>
        </w:rPr>
        <w:t>2.活动通知、摄影报道：</w:t>
      </w:r>
      <w:r>
        <w:rPr>
          <w:rFonts w:hint="eastAsia" w:ascii="宋体" w:hAnsi="宋体" w:cs="宋体"/>
          <w:sz w:val="24"/>
          <w:lang w:val="en-US" w:eastAsia="zh-CN"/>
        </w:rPr>
        <w:t>罗慧芳</w:t>
      </w:r>
    </w:p>
    <w:p>
      <w:pPr>
        <w:spacing w:line="312" w:lineRule="auto"/>
        <w:ind w:firstLine="420"/>
        <w:rPr>
          <w:rFonts w:hint="eastAsia" w:ascii="宋体" w:hAnsi="宋体" w:cs="宋体"/>
          <w:sz w:val="24"/>
        </w:rPr>
      </w:pPr>
      <w:r>
        <w:rPr>
          <w:rFonts w:hint="eastAsia" w:ascii="宋体" w:hAnsi="宋体" w:cs="宋体"/>
          <w:sz w:val="24"/>
        </w:rPr>
        <w:t>3.签到点名、活动简报：</w:t>
      </w:r>
      <w:r>
        <w:rPr>
          <w:rFonts w:hint="eastAsia" w:ascii="宋体" w:hAnsi="宋体" w:cs="宋体"/>
          <w:sz w:val="24"/>
          <w:lang w:val="en-US" w:eastAsia="zh-CN"/>
        </w:rPr>
        <w:t>钱琪瑶</w:t>
      </w:r>
      <w:r>
        <w:rPr>
          <w:rFonts w:hint="eastAsia" w:ascii="宋体" w:hAnsi="宋体" w:cs="宋体"/>
          <w:sz w:val="24"/>
        </w:rPr>
        <w:t xml:space="preserve">       </w:t>
      </w:r>
    </w:p>
    <w:p>
      <w:pPr>
        <w:spacing w:line="312" w:lineRule="auto"/>
        <w:jc w:val="right"/>
        <w:rPr>
          <w:rFonts w:hint="eastAsia" w:ascii="宋体" w:hAnsi="宋体" w:cs="宋体"/>
          <w:sz w:val="24"/>
        </w:rPr>
      </w:pPr>
      <w:r>
        <w:rPr>
          <w:rFonts w:hint="eastAsia" w:ascii="宋体" w:hAnsi="宋体" w:cs="宋体"/>
          <w:sz w:val="24"/>
        </w:rPr>
        <w:t xml:space="preserve">    新北区大中小学思政课一体化培育室</w:t>
      </w:r>
    </w:p>
    <w:p>
      <w:pPr>
        <w:spacing w:line="312" w:lineRule="auto"/>
        <w:jc w:val="right"/>
        <w:rPr>
          <w:rFonts w:hint="eastAsia" w:ascii="宋体" w:hAnsi="宋体" w:cs="宋体"/>
          <w:sz w:val="24"/>
        </w:rPr>
      </w:pPr>
      <w:r>
        <w:rPr>
          <w:rFonts w:hint="eastAsia" w:ascii="宋体" w:hAnsi="宋体" w:cs="宋体"/>
          <w:sz w:val="24"/>
        </w:rPr>
        <w:t>2024年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11</w:t>
      </w:r>
      <w:r>
        <w:rPr>
          <w:rFonts w:hint="eastAsia" w:ascii="宋体" w:hAnsi="宋体" w:cs="宋体"/>
          <w:sz w:val="24"/>
        </w:rPr>
        <w:t>日</w:t>
      </w:r>
    </w:p>
    <w:p>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jc w:val="both"/>
        <w:rPr>
          <w:rFonts w:hint="eastAsia" w:ascii="宋体" w:hAnsi="宋体" w:eastAsia="宋体" w:cs="宋体"/>
          <w:sz w:val="24"/>
          <w:szCs w:val="24"/>
          <w:lang w:val="en-US" w:eastAsia="zh-CN"/>
        </w:rPr>
      </w:pPr>
      <w:r>
        <w:rPr>
          <w:rFonts w:hint="eastAsia" w:ascii="黑体" w:hAnsi="黑体" w:eastAsia="黑体" w:cs="黑体"/>
          <w:b/>
          <w:bCs/>
          <w:sz w:val="30"/>
          <w:szCs w:val="30"/>
        </w:rPr>
        <w:drawing>
          <wp:inline distT="0" distB="0" distL="114300" distR="114300">
            <wp:extent cx="5261610" cy="7015480"/>
            <wp:effectExtent l="0" t="0" r="5715" b="4445"/>
            <wp:docPr id="1" name="图片 1" descr="IMG_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583"/>
                    <pic:cNvPicPr>
                      <a:picLocks noChangeAspect="1"/>
                    </pic:cNvPicPr>
                  </pic:nvPicPr>
                  <pic:blipFill>
                    <a:blip r:embed="rId6"/>
                    <a:stretch>
                      <a:fillRect/>
                    </a:stretch>
                  </pic:blipFill>
                  <pic:spPr>
                    <a:xfrm>
                      <a:off x="0" y="0"/>
                      <a:ext cx="5261610" cy="7015480"/>
                    </a:xfrm>
                    <a:prstGeom prst="rect">
                      <a:avLst/>
                    </a:prstGeom>
                  </pic:spPr>
                </pic:pic>
              </a:graphicData>
            </a:graphic>
          </wp:inline>
        </w:drawing>
      </w:r>
      <w:r>
        <w:rPr>
          <w:rFonts w:hint="eastAsia" w:ascii="黑体" w:hAnsi="黑体" w:eastAsia="黑体" w:cs="黑体"/>
          <w:b/>
          <w:bCs/>
          <w:sz w:val="30"/>
          <w:szCs w:val="30"/>
        </w:rPr>
        <w:drawing>
          <wp:inline distT="0" distB="0" distL="114300" distR="114300">
            <wp:extent cx="5261610" cy="7015480"/>
            <wp:effectExtent l="0" t="0" r="5715" b="4445"/>
            <wp:docPr id="2" name="图片 2" descr="IMG_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584"/>
                    <pic:cNvPicPr>
                      <a:picLocks noChangeAspect="1"/>
                    </pic:cNvPicPr>
                  </pic:nvPicPr>
                  <pic:blipFill>
                    <a:blip r:embed="rId7"/>
                    <a:stretch>
                      <a:fillRect/>
                    </a:stretch>
                  </pic:blipFill>
                  <pic:spPr>
                    <a:xfrm>
                      <a:off x="0" y="0"/>
                      <a:ext cx="5261610" cy="7015480"/>
                    </a:xfrm>
                    <a:prstGeom prst="rect">
                      <a:avLst/>
                    </a:prstGeom>
                  </pic:spPr>
                </pic:pic>
              </a:graphicData>
            </a:graphic>
          </wp:inline>
        </w:drawing>
      </w: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环节一：课堂思政</w:t>
      </w:r>
    </w:p>
    <w:p>
      <w:pPr>
        <w:spacing w:line="360" w:lineRule="auto"/>
        <w:jc w:val="both"/>
        <w:rPr>
          <w:rFonts w:hint="default" w:ascii="宋体" w:hAnsi="宋体" w:eastAsia="宋体" w:cs="宋体"/>
          <w:b/>
          <w:bCs/>
          <w:sz w:val="28"/>
          <w:szCs w:val="28"/>
          <w:vertAlign w:val="baseline"/>
          <w:lang w:val="en-US" w:eastAsia="zh-CN"/>
        </w:rPr>
      </w:pPr>
      <w:bookmarkStart w:id="0" w:name="OLE_LINK1"/>
      <w:r>
        <w:rPr>
          <w:rFonts w:hint="eastAsia" w:ascii="宋体" w:hAnsi="宋体" w:eastAsia="宋体" w:cs="宋体"/>
          <w:b/>
          <w:bCs/>
          <w:sz w:val="28"/>
          <w:szCs w:val="28"/>
          <w:vertAlign w:val="baseline"/>
          <w:lang w:val="en-US" w:eastAsia="zh-CN"/>
        </w:rPr>
        <w:t>常州市三井实验小学 钱琪瑶</w:t>
      </w:r>
      <w:bookmarkEnd w:id="0"/>
      <w:r>
        <w:rPr>
          <w:rFonts w:hint="eastAsia" w:ascii="宋体" w:hAnsi="宋体" w:eastAsia="宋体" w:cs="宋体"/>
          <w:b/>
          <w:bCs/>
          <w:sz w:val="28"/>
          <w:szCs w:val="28"/>
          <w:vertAlign w:val="baseline"/>
          <w:lang w:val="en-US" w:eastAsia="zh-CN"/>
        </w:rPr>
        <w:t>《我们所了解的环境污染》</w:t>
      </w:r>
    </w:p>
    <w:p>
      <w:pPr>
        <w:numPr>
          <w:ilvl w:val="0"/>
          <w:numId w:val="0"/>
        </w:numPr>
        <w:ind w:firstLine="220" w:firstLineChars="100"/>
        <w:jc w:val="center"/>
        <w:rPr>
          <w:rFonts w:hint="eastAsia" w:ascii="宋体" w:hAnsi="宋体" w:eastAsia="宋体" w:cs="宋体"/>
          <w:b/>
          <w:bCs/>
          <w:color w:val="000000"/>
          <w:kern w:val="0"/>
          <w:sz w:val="22"/>
          <w:szCs w:val="22"/>
          <w:lang w:val="en-US" w:eastAsia="zh-CN"/>
        </w:rPr>
      </w:pPr>
    </w:p>
    <w:p>
      <w:pPr>
        <w:numPr>
          <w:ilvl w:val="0"/>
          <w:numId w:val="0"/>
        </w:numPr>
        <w:ind w:firstLine="220" w:firstLineChars="100"/>
        <w:rPr>
          <w:rFonts w:hint="eastAsia" w:ascii="宋体" w:hAnsi="宋体" w:eastAsia="宋体" w:cs="宋体"/>
          <w:b/>
          <w:bCs/>
          <w:color w:val="000000"/>
          <w:kern w:val="0"/>
          <w:sz w:val="22"/>
          <w:szCs w:val="22"/>
          <w:lang w:val="en-US" w:eastAsia="zh-CN"/>
        </w:rPr>
      </w:pPr>
      <w:r>
        <w:rPr>
          <w:rFonts w:hint="eastAsia" w:ascii="宋体" w:hAnsi="宋体" w:eastAsia="宋体" w:cs="宋体"/>
          <w:b/>
          <w:bCs/>
          <w:color w:val="000000"/>
          <w:kern w:val="0"/>
          <w:sz w:val="22"/>
          <w:szCs w:val="22"/>
          <w:lang w:val="en-US" w:eastAsia="zh-CN"/>
        </w:rPr>
        <w:t>生活情境，谈话导入</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400" w:lineRule="exact"/>
        <w:ind w:left="442" w:hanging="440" w:hangingChars="200"/>
        <w:jc w:val="left"/>
        <w:textAlignment w:val="auto"/>
        <w:rPr>
          <w:rFonts w:hint="default"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1.创设情境：秋游话题引兴趣</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400" w:lineRule="exact"/>
        <w:ind w:firstLine="440" w:firstLineChars="200"/>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孩子们，老师今天和大家一起上节课。我给你们带来了一个好消息——我们马上就要迎来期待已久的秋游啦。</w:t>
      </w:r>
    </w:p>
    <w:p>
      <w:pPr>
        <w:numPr>
          <w:ilvl w:val="0"/>
          <w:numId w:val="1"/>
        </w:numPr>
        <w:rPr>
          <w:rFonts w:hint="eastAsia" w:ascii="宋体" w:hAnsi="宋体" w:eastAsia="宋体" w:cs="宋体"/>
          <w:b w:val="0"/>
          <w:bCs w:val="0"/>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秋游物品识塑料：</w:t>
      </w:r>
      <w:r>
        <w:rPr>
          <w:rFonts w:hint="eastAsia" w:ascii="宋体" w:hAnsi="宋体" w:eastAsia="宋体" w:cs="宋体"/>
          <w:b w:val="0"/>
          <w:bCs w:val="0"/>
          <w:sz w:val="22"/>
          <w:szCs w:val="22"/>
          <w:highlight w:val="none"/>
          <w:lang w:val="en-US" w:eastAsia="zh-CN"/>
        </w:rPr>
        <w:t>收拾你的秋游书包，你会带些什么呢？（出示秋游物品图片）</w:t>
      </w:r>
    </w:p>
    <w:p>
      <w:pPr>
        <w:keepNext w:val="0"/>
        <w:keepLines w:val="0"/>
        <w:pageBreakBefore w:val="0"/>
        <w:widowControl/>
        <w:numPr>
          <w:ilvl w:val="0"/>
          <w:numId w:val="0"/>
        </w:numPr>
        <w:kinsoku/>
        <w:wordWrap/>
        <w:overflowPunct/>
        <w:topLinePunct w:val="0"/>
        <w:autoSpaceDE/>
        <w:autoSpaceDN/>
        <w:bidi w:val="0"/>
        <w:adjustRightInd/>
        <w:snapToGrid/>
        <w:spacing w:afterAutospacing="0" w:line="400" w:lineRule="exact"/>
        <w:jc w:val="both"/>
        <w:textAlignment w:val="auto"/>
        <w:rPr>
          <w:rFonts w:hint="eastAsia" w:ascii="宋体" w:hAnsi="宋体" w:eastAsia="宋体" w:cs="宋体"/>
          <w:b/>
          <w:bCs/>
          <w:color w:val="000000"/>
          <w:kern w:val="0"/>
          <w:sz w:val="22"/>
          <w:szCs w:val="22"/>
          <w:lang w:val="en-US" w:eastAsia="zh-CN"/>
        </w:rPr>
      </w:pPr>
      <w:r>
        <w:rPr>
          <w:rFonts w:hint="eastAsia" w:ascii="宋体" w:hAnsi="宋体" w:eastAsia="宋体" w:cs="宋体"/>
          <w:b/>
          <w:bCs/>
          <w:color w:val="000000"/>
          <w:kern w:val="0"/>
          <w:sz w:val="22"/>
          <w:szCs w:val="22"/>
          <w:lang w:val="en-US" w:eastAsia="zh-CN"/>
        </w:rPr>
        <w:t>活动一：塑料优点我探究</w:t>
      </w:r>
    </w:p>
    <w:p>
      <w:pPr>
        <w:pStyle w:val="14"/>
        <w:keepNext w:val="0"/>
        <w:keepLines w:val="0"/>
        <w:pageBreakBefore w:val="0"/>
        <w:kinsoku/>
        <w:wordWrap/>
        <w:overflowPunct/>
        <w:topLinePunct w:val="0"/>
        <w:autoSpaceDE/>
        <w:autoSpaceDN/>
        <w:bidi w:val="0"/>
        <w:adjustRightInd/>
        <w:snapToGrid/>
        <w:spacing w:afterAutospacing="0" w:line="400" w:lineRule="exact"/>
        <w:ind w:right="103"/>
        <w:textAlignment w:val="auto"/>
        <w:rPr>
          <w:rFonts w:hint="eastAsia" w:ascii="宋体" w:hAnsi="宋体" w:eastAsia="宋体" w:cs="宋体"/>
          <w:b w:val="0"/>
          <w:bCs w:val="0"/>
          <w:color w:val="auto"/>
          <w:kern w:val="2"/>
          <w:sz w:val="22"/>
          <w:szCs w:val="22"/>
          <w:highlight w:val="none"/>
          <w:lang w:val="en-US" w:eastAsia="zh-CN" w:bidi="ar-SA"/>
        </w:rPr>
      </w:pPr>
      <w:r>
        <w:rPr>
          <w:rFonts w:hint="eastAsia" w:cs="宋体"/>
          <w:b w:val="0"/>
          <w:bCs w:val="0"/>
          <w:color w:val="auto"/>
          <w:kern w:val="2"/>
          <w:sz w:val="22"/>
          <w:szCs w:val="22"/>
          <w:highlight w:val="none"/>
          <w:lang w:val="en-US" w:eastAsia="zh-CN" w:bidi="ar-SA"/>
        </w:rPr>
        <w:t>1</w:t>
      </w:r>
      <w:r>
        <w:rPr>
          <w:rFonts w:hint="eastAsia" w:cs="宋体"/>
          <w:b/>
          <w:bCs/>
          <w:color w:val="auto"/>
          <w:kern w:val="2"/>
          <w:sz w:val="22"/>
          <w:szCs w:val="22"/>
          <w:highlight w:val="none"/>
          <w:lang w:val="en-US" w:eastAsia="zh-CN" w:bidi="ar-SA"/>
        </w:rPr>
        <w:t>.</w:t>
      </w:r>
      <w:r>
        <w:rPr>
          <w:rFonts w:hint="eastAsia" w:cs="宋体"/>
          <w:b w:val="0"/>
          <w:bCs w:val="0"/>
          <w:color w:val="auto"/>
          <w:kern w:val="2"/>
          <w:sz w:val="22"/>
          <w:szCs w:val="22"/>
          <w:highlight w:val="none"/>
          <w:lang w:val="en-US" w:eastAsia="zh-CN" w:bidi="ar-SA"/>
        </w:rPr>
        <w:t>找一找身边的塑料：同学们，生活中你见到过哪些塑料制品呢？教室里有吗？我们的家里、公共场所有没有？</w:t>
      </w:r>
    </w:p>
    <w:p>
      <w:pPr>
        <w:pStyle w:val="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i w:val="0"/>
          <w:iCs w:val="0"/>
          <w:caps w:val="0"/>
          <w:color w:val="auto"/>
          <w:spacing w:val="0"/>
          <w:kern w:val="2"/>
          <w:sz w:val="22"/>
          <w:szCs w:val="22"/>
          <w:shd w:val="clear" w:color="auto" w:fill="FFFFFF"/>
          <w:lang w:val="en-US" w:eastAsia="zh-CN" w:bidi="ar-SA"/>
        </w:rPr>
      </w:pPr>
      <w:r>
        <w:rPr>
          <w:rFonts w:hint="eastAsia" w:ascii="宋体" w:hAnsi="宋体" w:eastAsia="宋体" w:cs="宋体"/>
          <w:b w:val="0"/>
          <w:bCs w:val="0"/>
          <w:i w:val="0"/>
          <w:iCs w:val="0"/>
          <w:caps w:val="0"/>
          <w:color w:val="auto"/>
          <w:spacing w:val="0"/>
          <w:kern w:val="2"/>
          <w:sz w:val="22"/>
          <w:szCs w:val="22"/>
          <w:shd w:val="clear" w:color="auto" w:fill="FFFFFF"/>
          <w:lang w:val="en-US" w:eastAsia="zh-CN" w:bidi="ar-SA"/>
        </w:rPr>
        <w:t>2.在我们的日常生活中，塑料制品随处可见。那塑料家族为什么会被广泛使用？它们有哪些优点呢，我们一起来探究。</w:t>
      </w:r>
    </w:p>
    <w:p>
      <w:pPr>
        <w:pStyle w:val="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i w:val="0"/>
          <w:iCs w:val="0"/>
          <w:caps w:val="0"/>
          <w:color w:val="auto"/>
          <w:spacing w:val="0"/>
          <w:kern w:val="2"/>
          <w:sz w:val="22"/>
          <w:szCs w:val="22"/>
          <w:shd w:val="clear" w:color="auto" w:fill="FFFFFF"/>
          <w:lang w:val="en-US" w:eastAsia="zh-CN" w:bidi="ar-SA"/>
        </w:rPr>
      </w:pPr>
      <w:r>
        <w:rPr>
          <w:rFonts w:hint="eastAsia" w:ascii="宋体" w:hAnsi="宋体" w:eastAsia="宋体" w:cs="宋体"/>
          <w:b w:val="0"/>
          <w:bCs w:val="0"/>
          <w:i w:val="0"/>
          <w:iCs w:val="0"/>
          <w:caps w:val="0"/>
          <w:color w:val="auto"/>
          <w:spacing w:val="0"/>
          <w:kern w:val="2"/>
          <w:sz w:val="22"/>
          <w:szCs w:val="22"/>
          <w:shd w:val="clear" w:color="auto" w:fill="FFFFFF"/>
          <w:lang w:val="en-US" w:eastAsia="zh-CN" w:bidi="ar-SA"/>
        </w:rPr>
        <w:t>3.小组合作：请大家拿出材料袋，和小组成员一起，可以摸一摸、闻一闻、撕一撕、比一比，来找找塑料的优点。</w:t>
      </w:r>
    </w:p>
    <w:p>
      <w:pPr>
        <w:pStyle w:val="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4.同学们运用了多种方法探究出塑料的这么多优点，正因为塑料有这么多优良的性能，我们的日常生活也就离不开它们，现在塑料制品还越来越多被运用在高科技领域，我们一起来看一看（出示视频）</w:t>
      </w:r>
    </w:p>
    <w:p>
      <w:pPr>
        <w:keepNext w:val="0"/>
        <w:keepLines w:val="0"/>
        <w:pageBreakBefore w:val="0"/>
        <w:widowControl/>
        <w:numPr>
          <w:ilvl w:val="0"/>
          <w:numId w:val="0"/>
        </w:numPr>
        <w:kinsoku/>
        <w:wordWrap/>
        <w:overflowPunct/>
        <w:topLinePunct w:val="0"/>
        <w:autoSpaceDE/>
        <w:autoSpaceDN/>
        <w:bidi w:val="0"/>
        <w:adjustRightInd/>
        <w:snapToGrid/>
        <w:spacing w:afterAutospacing="0" w:line="400" w:lineRule="exact"/>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5.总结：纳米塑料、导电塑料、磁性塑料、记忆塑料……各种更新颖的塑料正在为人类的技术进步做出新的贡献。</w:t>
      </w:r>
    </w:p>
    <w:p>
      <w:pPr>
        <w:keepNext w:val="0"/>
        <w:keepLines w:val="0"/>
        <w:pageBreakBefore w:val="0"/>
        <w:widowControl/>
        <w:numPr>
          <w:ilvl w:val="0"/>
          <w:numId w:val="0"/>
        </w:numPr>
        <w:kinsoku/>
        <w:wordWrap/>
        <w:overflowPunct/>
        <w:topLinePunct w:val="0"/>
        <w:autoSpaceDE/>
        <w:autoSpaceDN/>
        <w:bidi w:val="0"/>
        <w:adjustRightInd/>
        <w:snapToGrid/>
        <w:spacing w:afterAutospacing="0" w:line="400" w:lineRule="exact"/>
        <w:jc w:val="both"/>
        <w:textAlignment w:val="auto"/>
        <w:rPr>
          <w:rFonts w:hint="eastAsia" w:ascii="宋体" w:hAnsi="宋体" w:eastAsia="宋体" w:cs="宋体"/>
          <w:b/>
          <w:bCs/>
          <w:color w:val="auto"/>
          <w:kern w:val="0"/>
          <w:sz w:val="22"/>
          <w:szCs w:val="22"/>
          <w:lang w:val="en-US" w:eastAsia="zh-CN" w:bidi="ar-SA"/>
        </w:rPr>
      </w:pPr>
      <w:r>
        <w:rPr>
          <w:rFonts w:hint="eastAsia" w:ascii="宋体" w:hAnsi="宋体" w:eastAsia="宋体" w:cs="宋体"/>
          <w:b/>
          <w:bCs/>
          <w:color w:val="auto"/>
          <w:kern w:val="0"/>
          <w:sz w:val="22"/>
          <w:szCs w:val="22"/>
          <w:lang w:val="en-US" w:eastAsia="zh-CN" w:bidi="ar-SA"/>
        </w:rPr>
        <w:t>活动二：白色污染我感受</w:t>
      </w:r>
    </w:p>
    <w:p>
      <w:pPr>
        <w:keepNext w:val="0"/>
        <w:keepLines w:val="0"/>
        <w:pageBreakBefore w:val="0"/>
        <w:shd w:val="clear" w:color="auto" w:fill="auto"/>
        <w:kinsoku/>
        <w:wordWrap/>
        <w:overflowPunct/>
        <w:topLinePunct w:val="0"/>
        <w:autoSpaceDE/>
        <w:autoSpaceDN/>
        <w:bidi w:val="0"/>
        <w:adjustRightInd/>
        <w:snapToGrid/>
        <w:spacing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1.秋游垃圾明污染</w:t>
      </w:r>
      <w:r>
        <w:rPr>
          <w:rFonts w:hint="eastAsia" w:ascii="宋体" w:hAnsi="宋体" w:eastAsia="宋体" w:cs="宋体"/>
          <w:b/>
          <w:bCs/>
          <w:color w:val="auto"/>
          <w:sz w:val="22"/>
          <w:szCs w:val="22"/>
          <w:highlight w:val="none"/>
          <w:lang w:val="en-US" w:eastAsia="zh-CN"/>
        </w:rPr>
        <w:t>：</w:t>
      </w:r>
      <w:r>
        <w:rPr>
          <w:rFonts w:hint="eastAsia" w:ascii="宋体" w:hAnsi="宋体" w:eastAsia="宋体" w:cs="宋体"/>
          <w:b w:val="0"/>
          <w:bCs w:val="0"/>
          <w:color w:val="auto"/>
          <w:sz w:val="22"/>
          <w:szCs w:val="22"/>
          <w:highlight w:val="none"/>
          <w:lang w:val="en-US" w:eastAsia="zh-CN"/>
        </w:rPr>
        <w:t>正因为这些优点，同学们才会带着这些塑料制品去秋游，但秋游之后会看到这样的景象——</w:t>
      </w:r>
    </w:p>
    <w:p>
      <w:pPr>
        <w:keepNext w:val="0"/>
        <w:keepLines w:val="0"/>
        <w:pageBreakBefore w:val="0"/>
        <w:shd w:val="clear" w:color="auto" w:fill="auto"/>
        <w:kinsoku/>
        <w:wordWrap/>
        <w:overflowPunct/>
        <w:topLinePunct w:val="0"/>
        <w:autoSpaceDE/>
        <w:autoSpaceDN/>
        <w:bidi w:val="0"/>
        <w:adjustRightInd/>
        <w:snapToGrid/>
        <w:spacing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出示：塑料袋等一系列相关塑料制品使用不当造成的生态污染或严重后果，就是“白色污染”.（板贴：从“白色污染”说起）。</w:t>
      </w:r>
    </w:p>
    <w:p>
      <w:pPr>
        <w:pStyle w:val="6"/>
        <w:keepNext w:val="0"/>
        <w:keepLines w:val="0"/>
        <w:pageBreakBefore w:val="0"/>
        <w:widowControl/>
        <w:numPr>
          <w:ilvl w:val="0"/>
          <w:numId w:val="2"/>
        </w:numPr>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听懂故事明危害：一起来听一听塑料袋的故事——录音。塑料袋给人们带来了哪些困扰？</w:t>
      </w:r>
    </w:p>
    <w:p>
      <w:pPr>
        <w:pStyle w:val="6"/>
        <w:keepNext w:val="0"/>
        <w:keepLines w:val="0"/>
        <w:pageBreakBefore w:val="0"/>
        <w:widowControl/>
        <w:numPr>
          <w:ilvl w:val="0"/>
          <w:numId w:val="2"/>
        </w:numPr>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白色污染危害大：为什么小小的塑料袋会变成白色污染，给人们带来这么多困扰呢？我们一起来了解塑料的另一个特性：一般塑料在大自然中的分解时间为200-400年；混合废塑料在大自然中的分解时间约为30万年。你有什么想法？</w:t>
      </w:r>
    </w:p>
    <w:p>
      <w:pPr>
        <w:pStyle w:val="6"/>
        <w:keepNext w:val="0"/>
        <w:keepLines w:val="0"/>
        <w:pageBreakBefore w:val="0"/>
        <w:widowControl/>
        <w:numPr>
          <w:ilvl w:val="0"/>
          <w:numId w:val="2"/>
        </w:numPr>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追问：试着算一算你现在扔掉的一个塑料袋，要到你的第几代子孙才能分解掉？（一代一代的伤害，白色污染的影响是长久的）</w:t>
      </w:r>
    </w:p>
    <w:p>
      <w:pPr>
        <w:pStyle w:val="6"/>
        <w:keepNext w:val="0"/>
        <w:keepLines w:val="0"/>
        <w:pageBreakBefore w:val="0"/>
        <w:widowControl/>
        <w:numPr>
          <w:ilvl w:val="0"/>
          <w:numId w:val="2"/>
        </w:numPr>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白色污染只是对大自然有影响吗？——视频：最后受害的是人类</w:t>
      </w:r>
    </w:p>
    <w:p>
      <w:pPr>
        <w:pStyle w:val="6"/>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400" w:lineRule="exact"/>
        <w:ind w:right="0" w:rightChars="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总结：空气、水、土壤……我们生活的环境都被塑料垃圾污染了；白色污染让地球上的每一个生命都面临着威胁，植物、动物，甚至是我们人类自己，无一幸免。</w:t>
      </w:r>
    </w:p>
    <w:p>
      <w:pPr>
        <w:pStyle w:val="6"/>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400" w:lineRule="exact"/>
        <w:ind w:right="0" w:rightChars="0"/>
        <w:textAlignment w:val="auto"/>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color w:val="000000"/>
          <w:kern w:val="0"/>
          <w:sz w:val="22"/>
          <w:szCs w:val="22"/>
          <w:lang w:val="en-US" w:eastAsia="zh-CN" w:bidi="ar-SA"/>
        </w:rPr>
        <w:t>活动三：减塑思辨我能行</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1.思辨：同学们，既然塑料垃圾危害这么大，我们能完全不使用塑料制品吗？</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2.想象，如果完全不使用塑料制品，我们的生活会变成怎样呢？</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   如果学校里没有塑料制品，——</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   如果医院里没有塑料制品，——</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   如果家里里没有塑料制品，——</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   如果——</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3.我们的生活离不开塑料，塑料在很多领域发挥作用，完全禁止不可行。可塑料垃圾又给环境带来那么大、那么长久的危害。那怎么办呢？（减少使用……）</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4.是啊，我们人类必须合理地、有节制地使用塑料制品，才能减少塑料垃圾的产生。</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ind w:leftChars="0"/>
        <w:textAlignment w:val="auto"/>
        <w:rPr>
          <w:rFonts w:hint="eastAsia" w:ascii="宋体" w:hAnsi="宋体" w:eastAsia="宋体" w:cs="宋体"/>
          <w:b/>
          <w:bCs/>
          <w:kern w:val="0"/>
          <w:sz w:val="22"/>
          <w:szCs w:val="22"/>
          <w:lang w:val="en-US" w:eastAsia="zh-CN"/>
        </w:rPr>
      </w:pPr>
      <w:r>
        <w:rPr>
          <w:rFonts w:hint="eastAsia" w:ascii="宋体" w:hAnsi="宋体" w:eastAsia="宋体" w:cs="宋体"/>
          <w:b/>
          <w:bCs/>
          <w:kern w:val="0"/>
          <w:sz w:val="22"/>
          <w:szCs w:val="22"/>
          <w:lang w:val="en-US" w:eastAsia="zh-CN"/>
        </w:rPr>
        <w:t>活动四：减塑行动我践行</w:t>
      </w:r>
    </w:p>
    <w:p>
      <w:pPr>
        <w:keepNext w:val="0"/>
        <w:keepLines w:val="0"/>
        <w:pageBreakBefore w:val="0"/>
        <w:numPr>
          <w:ilvl w:val="0"/>
          <w:numId w:val="0"/>
        </w:numPr>
        <w:shd w:val="clear" w:color="auto" w:fill="auto"/>
        <w:kinsoku/>
        <w:wordWrap/>
        <w:overflowPunct/>
        <w:topLinePunct w:val="0"/>
        <w:autoSpaceDE/>
        <w:autoSpaceDN/>
        <w:bidi w:val="0"/>
        <w:adjustRightInd/>
        <w:snapToGrid/>
        <w:spacing w:afterAutospacing="0" w:line="400" w:lineRule="exact"/>
        <w:textAlignment w:val="auto"/>
        <w:rPr>
          <w:rFonts w:hint="eastAsia"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1.让我们从再次选择秋游物品开始行动。这次，你会有不一样的选择吗？请大家以小组为单位，在必须品下打钩，非必须品思考减塑方法。</w:t>
      </w:r>
    </w:p>
    <w:p>
      <w:pPr>
        <w:pStyle w:val="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2.同学们想出了这么多好办法，为了减少塑料制品，科学家还想出了很多办法，比如：将垃圾袋的材料变成了可生物降解的垃圾袋，上面这个绿色标志代表可降解。科学家们还研发了许多新型环保材料，科技的进步，让塑料也进入“绿色时段”。（板贴：创新使用）</w:t>
      </w:r>
    </w:p>
    <w:p>
      <w:pPr>
        <w:pStyle w:val="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3.生活中，还有哪些好办法能减少塑料的使用吗？</w:t>
      </w:r>
    </w:p>
    <w:p>
      <w:pPr>
        <w:pStyle w:val="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相机：入住酒店自带一次性用品、在家点外卖不选择一次性餐具、超市带布包菜篮子装物品……</w:t>
      </w:r>
    </w:p>
    <w:p>
      <w:pPr>
        <w:pStyle w:val="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4.孩子们，不光我们在想办法，其实全社会、全世界都在行动——出示PPT：1991德国《包装条例》、2002年爱尔兰实施塑料袋税、2008年、2020年中国发布“限塑令”……播放视频</w:t>
      </w:r>
    </w:p>
    <w:p>
      <w:pPr>
        <w:pStyle w:val="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p>
    <w:p>
      <w:pPr>
        <w:pStyle w:val="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总结全课：今天这节课，我们了解了塑料的特性，知道了白色污染的危害，还想出了许多“减塑妙招”，课后大家可以积极地向家人，邻居宣传。从今天开始，从身边的小习惯做起，坚持家庭减塑打卡。让我们一起努力，减少“白色污染”，让生活多一些绿色。下节课，我们再一起了解其他环境污染。</w:t>
      </w:r>
    </w:p>
    <w:p>
      <w:pPr>
        <w:pStyle w:val="6"/>
        <w:keepNext w:val="0"/>
        <w:keepLines w:val="0"/>
        <w:pageBreakBefore w:val="0"/>
        <w:widowControl/>
        <w:numPr>
          <w:ilvl w:val="0"/>
          <w:numId w:val="3"/>
        </w:numPr>
        <w:suppressLineNumbers w:val="0"/>
        <w:shd w:val="clear" w:color="auto" w:fill="auto"/>
        <w:kinsoku/>
        <w:wordWrap/>
        <w:overflowPunct/>
        <w:topLinePunct w:val="0"/>
        <w:autoSpaceDE/>
        <w:autoSpaceDN/>
        <w:bidi w:val="0"/>
        <w:adjustRightInd/>
        <w:snapToGrid/>
        <w:spacing w:before="0" w:beforeAutospacing="0" w:after="0" w:afterAutospacing="0" w:line="400" w:lineRule="exact"/>
        <w:textAlignment w:val="auto"/>
        <w:rPr>
          <w:rFonts w:hint="eastAsia" w:ascii="宋体" w:hAnsi="宋体" w:eastAsia="宋体" w:cs="宋体"/>
          <w:b/>
          <w:bCs/>
          <w:color w:val="auto"/>
          <w:kern w:val="0"/>
          <w:sz w:val="22"/>
          <w:szCs w:val="22"/>
          <w:lang w:val="en-US" w:eastAsia="zh-CN"/>
        </w:rPr>
      </w:pPr>
      <w:r>
        <w:rPr>
          <w:rFonts w:hint="eastAsia" w:ascii="宋体" w:hAnsi="宋体" w:eastAsia="宋体" w:cs="宋体"/>
          <w:b/>
          <w:bCs/>
          <w:color w:val="auto"/>
          <w:kern w:val="0"/>
          <w:sz w:val="22"/>
          <w:szCs w:val="22"/>
          <w:lang w:val="en-US" w:eastAsia="zh-CN"/>
        </w:rPr>
        <w:t>课后实践作业</w:t>
      </w:r>
    </w:p>
    <w:p>
      <w:pPr>
        <w:keepNext w:val="0"/>
        <w:keepLines w:val="0"/>
        <w:pageBreakBefore w:val="0"/>
        <w:widowControl/>
        <w:kinsoku/>
        <w:wordWrap/>
        <w:overflowPunct/>
        <w:topLinePunct w:val="0"/>
        <w:autoSpaceDE/>
        <w:autoSpaceDN/>
        <w:bidi w:val="0"/>
        <w:adjustRightInd/>
        <w:snapToGrid/>
        <w:spacing w:afterAutospacing="0" w:line="400" w:lineRule="exact"/>
        <w:textAlignment w:val="auto"/>
        <w:rPr>
          <w:rFonts w:hint="eastAsia" w:ascii="宋体" w:hAnsi="宋体" w:eastAsia="宋体" w:cs="宋体"/>
          <w:sz w:val="22"/>
          <w:szCs w:val="22"/>
          <w:highlight w:val="none"/>
          <w:lang w:val="en-US" w:eastAsia="zh-CN"/>
        </w:rPr>
      </w:pPr>
      <w:r>
        <w:rPr>
          <w:rFonts w:hint="eastAsia" w:ascii="宋体" w:hAnsi="宋体" w:eastAsia="宋体" w:cs="宋体"/>
          <w:b/>
          <w:bCs/>
          <w:sz w:val="22"/>
          <w:szCs w:val="22"/>
          <w:highlight w:val="none"/>
          <w:lang w:val="en-US" w:eastAsia="zh-CN"/>
        </w:rPr>
        <w:t>布置作业：</w:t>
      </w:r>
      <w:r>
        <w:rPr>
          <w:rFonts w:hint="eastAsia" w:ascii="宋体" w:hAnsi="宋体" w:eastAsia="宋体" w:cs="宋体"/>
          <w:sz w:val="22"/>
          <w:szCs w:val="22"/>
          <w:highlight w:val="none"/>
          <w:lang w:val="en-US" w:eastAsia="zh-CN"/>
        </w:rPr>
        <w:t>课后，请你们带着你们全家人一起开展减塑行动，比一比：一周后哪个家庭减塑效果最好？</w:t>
      </w:r>
    </w:p>
    <w:p>
      <w:pPr>
        <w:spacing w:line="360" w:lineRule="auto"/>
        <w:ind w:firstLine="480" w:firstLineChars="200"/>
        <w:rPr>
          <w:rFonts w:hint="eastAsia" w:ascii="宋体" w:hAnsi="宋体" w:eastAsia="宋体" w:cs="宋体"/>
          <w:b w:val="0"/>
          <w:bCs w:val="0"/>
          <w:color w:val="auto"/>
          <w:sz w:val="24"/>
          <w:szCs w:val="24"/>
          <w:lang w:val="en-US" w:eastAsia="zh-CN"/>
        </w:rPr>
      </w:pPr>
    </w:p>
    <w:p>
      <w:pPr>
        <w:spacing w:line="360" w:lineRule="auto"/>
        <w:ind w:firstLine="480" w:firstLineChars="200"/>
        <w:rPr>
          <w:rFonts w:hint="eastAsia" w:ascii="宋体" w:hAnsi="宋体" w:eastAsia="宋体" w:cs="宋体"/>
          <w:b w:val="0"/>
          <w:bCs w:val="0"/>
          <w:color w:val="auto"/>
          <w:sz w:val="24"/>
          <w:szCs w:val="24"/>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环节二：思政学习</w:t>
      </w:r>
    </w:p>
    <w:p>
      <w:pPr>
        <w:numPr>
          <w:ilvl w:val="0"/>
          <w:numId w:val="4"/>
        </w:numPr>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活动分享</w:t>
      </w:r>
    </w:p>
    <w:p>
      <w:pPr>
        <w:numPr>
          <w:ilvl w:val="0"/>
          <w:numId w:val="0"/>
        </w:numPr>
        <w:ind w:firstLine="561" w:firstLineChars="200"/>
        <w:jc w:val="left"/>
        <w:rPr>
          <w:rFonts w:ascii="宋体" w:hAnsi="宋体" w:eastAsia="宋体" w:cs="宋体"/>
          <w:sz w:val="24"/>
          <w:szCs w:val="24"/>
        </w:rPr>
      </w:pPr>
      <w:r>
        <w:rPr>
          <w:rFonts w:hint="eastAsia" w:ascii="宋体" w:hAnsi="宋体" w:eastAsia="宋体" w:cs="宋体"/>
          <w:b/>
          <w:bCs/>
          <w:sz w:val="28"/>
          <w:szCs w:val="28"/>
          <w:vertAlign w:val="baseline"/>
          <w:lang w:val="en-US" w:eastAsia="zh-CN"/>
        </w:rPr>
        <w:t>常州市三井实验小学 钱琪瑶</w:t>
      </w:r>
    </w:p>
    <w:p>
      <w:pPr>
        <w:jc w:val="center"/>
        <w:rPr>
          <w:rFonts w:ascii="宋体" w:hAnsi="宋体" w:eastAsia="宋体" w:cs="宋体"/>
          <w:sz w:val="24"/>
          <w:szCs w:val="24"/>
        </w:rPr>
      </w:pPr>
      <w:r>
        <w:rPr>
          <w:rFonts w:ascii="宋体" w:hAnsi="宋体" w:eastAsia="宋体" w:cs="宋体"/>
          <w:sz w:val="24"/>
          <w:szCs w:val="24"/>
        </w:rPr>
        <w:t>结合地方资源，强化政治引领</w:t>
      </w:r>
    </w:p>
    <w:p>
      <w:pPr>
        <w:ind w:firstLine="420" w:firstLineChars="200"/>
        <w:jc w:val="left"/>
        <w:rPr>
          <w:rFonts w:hint="eastAsia"/>
        </w:rPr>
      </w:pPr>
      <w:r>
        <w:rPr>
          <w:rFonts w:hint="eastAsia"/>
        </w:rPr>
        <w:t>党的十八大以来，习近平总书记关于少年儿童教育工作的重要论述，将</w:t>
      </w:r>
      <w:r>
        <w:rPr>
          <w:rFonts w:hint="eastAsia"/>
          <w:lang w:val="en-US" w:eastAsia="zh-CN"/>
        </w:rPr>
        <w:t>班级活动</w:t>
      </w:r>
      <w:r>
        <w:rPr>
          <w:rFonts w:hint="eastAsia"/>
        </w:rPr>
        <w:t>教育置于广阔的大思政教育背景中。全国少工委八届四次全会强调，要“全面强化政治引领”“聚焦培养共产主义接班人，聚焦传承红色基因，聚焦政治启蒙和价值观塑造”。</w:t>
      </w:r>
      <w:r>
        <w:rPr>
          <w:rFonts w:hint="eastAsia"/>
          <w:lang w:val="en-US" w:eastAsia="zh-CN"/>
        </w:rPr>
        <w:t>班级</w:t>
      </w:r>
      <w:r>
        <w:rPr>
          <w:rFonts w:hint="eastAsia"/>
        </w:rPr>
        <w:t>立足</w:t>
      </w:r>
      <w:r>
        <w:rPr>
          <w:rFonts w:hint="eastAsia"/>
          <w:lang w:val="en-US" w:eastAsia="zh-CN"/>
        </w:rPr>
        <w:t>常州</w:t>
      </w:r>
      <w:r>
        <w:rPr>
          <w:rFonts w:hint="eastAsia"/>
        </w:rPr>
        <w:t>丰富的纪念馆红色文化资源，结合校外实践教育展开分析，为促进“大思政”为党育人、为国育才提供参考。</w:t>
      </w:r>
    </w:p>
    <w:p>
      <w:pPr>
        <w:ind w:firstLine="420" w:firstLineChars="200"/>
        <w:jc w:val="left"/>
        <w:rPr>
          <w:rFonts w:hint="eastAsia"/>
        </w:rPr>
      </w:pPr>
      <w:r>
        <w:rPr>
          <w:rFonts w:hint="eastAsia"/>
          <w:lang w:val="en-US" w:eastAsia="zh-CN"/>
        </w:rPr>
        <w:t>一、</w:t>
      </w:r>
      <w:r>
        <w:rPr>
          <w:rFonts w:hint="eastAsia"/>
        </w:rPr>
        <w:t>研究意义</w:t>
      </w:r>
    </w:p>
    <w:p>
      <w:pPr>
        <w:ind w:firstLine="420" w:firstLineChars="200"/>
        <w:jc w:val="left"/>
        <w:rPr>
          <w:rFonts w:hint="eastAsia"/>
        </w:rPr>
      </w:pPr>
      <w:r>
        <w:rPr>
          <w:rFonts w:hint="eastAsia"/>
        </w:rPr>
        <w:t>开展政治引领，实践育人是重要方式。通过前往红色场馆开展实践活动，能够结合自身成长学好党史，传承红色基因，深刻感受中国特色社会主义制度的优越性，培养真挚的政治情感。</w:t>
      </w:r>
    </w:p>
    <w:p>
      <w:pPr>
        <w:ind w:firstLine="420" w:firstLineChars="200"/>
        <w:jc w:val="left"/>
        <w:rPr>
          <w:rFonts w:hint="eastAsia"/>
        </w:rPr>
      </w:pPr>
      <w:r>
        <w:rPr>
          <w:rFonts w:hint="eastAsia"/>
        </w:rPr>
        <w:t>(一)为</w:t>
      </w:r>
      <w:r>
        <w:rPr>
          <w:rFonts w:hint="eastAsia"/>
          <w:lang w:eastAsia="zh-CN"/>
        </w:rPr>
        <w:t>小学生</w:t>
      </w:r>
      <w:r>
        <w:rPr>
          <w:rFonts w:hint="eastAsia"/>
        </w:rPr>
        <w:t>政治引领注入红色血脉</w:t>
      </w:r>
    </w:p>
    <w:p>
      <w:pPr>
        <w:ind w:firstLine="420" w:firstLineChars="200"/>
        <w:jc w:val="left"/>
        <w:rPr>
          <w:rFonts w:hint="eastAsia"/>
        </w:rPr>
      </w:pPr>
      <w:r>
        <w:rPr>
          <w:rFonts w:hint="eastAsia"/>
        </w:rPr>
        <w:t>习近平总书记强调:“革命博物馆、纪念馆、党史馆、烈士陵园等是党和国家红色基因库。要讲好党的故事、革命的故事、根据地的故事、英雄和烈士的故事。”红色基因库是指一种包含着红色文化精髓的文化资源库，是</w:t>
      </w:r>
      <w:r>
        <w:rPr>
          <w:rFonts w:hint="eastAsia"/>
          <w:lang w:eastAsia="zh-CN"/>
        </w:rPr>
        <w:t>小学生</w:t>
      </w:r>
      <w:r>
        <w:rPr>
          <w:rFonts w:hint="eastAsia"/>
        </w:rPr>
        <w:t>弘扬红色文化、传承红色精神的有效载体。打造红色基因库，用好红色资源，能够让中国共产党的红色历史鲜活起来，将红色基因深植于中华民族的文化血脉，坚定</w:t>
      </w:r>
      <w:r>
        <w:rPr>
          <w:rFonts w:hint="eastAsia"/>
          <w:lang w:eastAsia="zh-CN"/>
        </w:rPr>
        <w:t>小学生</w:t>
      </w:r>
      <w:r>
        <w:rPr>
          <w:rFonts w:hint="eastAsia"/>
        </w:rPr>
        <w:t>的文化自信。</w:t>
      </w:r>
    </w:p>
    <w:p>
      <w:pPr>
        <w:ind w:firstLine="420" w:firstLineChars="200"/>
        <w:jc w:val="left"/>
        <w:rPr>
          <w:rFonts w:hint="eastAsia"/>
        </w:rPr>
      </w:pPr>
      <w:r>
        <w:rPr>
          <w:rFonts w:hint="eastAsia"/>
        </w:rPr>
        <w:t>(二)为</w:t>
      </w:r>
      <w:r>
        <w:rPr>
          <w:rFonts w:hint="eastAsia"/>
          <w:lang w:eastAsia="zh-CN"/>
        </w:rPr>
        <w:t>小学生</w:t>
      </w:r>
      <w:r>
        <w:rPr>
          <w:rFonts w:hint="eastAsia"/>
        </w:rPr>
        <w:t>政治引领提供深度体验</w:t>
      </w:r>
    </w:p>
    <w:p>
      <w:pPr>
        <w:ind w:firstLine="420" w:firstLineChars="200"/>
        <w:jc w:val="left"/>
        <w:rPr>
          <w:rFonts w:hint="eastAsia"/>
        </w:rPr>
      </w:pPr>
      <w:r>
        <w:rPr>
          <w:rFonts w:hint="eastAsia"/>
        </w:rPr>
        <w:t>面向</w:t>
      </w:r>
      <w:r>
        <w:rPr>
          <w:rFonts w:hint="eastAsia"/>
          <w:lang w:eastAsia="zh-CN"/>
        </w:rPr>
        <w:t>小学生</w:t>
      </w:r>
      <w:r>
        <w:rPr>
          <w:rFonts w:hint="eastAsia"/>
        </w:rPr>
        <w:t>开展思想政治教育，</w:t>
      </w:r>
      <w:r>
        <w:rPr>
          <w:rFonts w:hint="eastAsia"/>
          <w:lang w:eastAsia="zh-CN"/>
        </w:rPr>
        <w:t>博物馆纪念馆</w:t>
      </w:r>
      <w:r>
        <w:rPr>
          <w:rFonts w:hint="eastAsia"/>
        </w:rPr>
        <w:t>具有突出的优势。</w:t>
      </w:r>
      <w:r>
        <w:rPr>
          <w:rFonts w:hint="eastAsia"/>
          <w:lang w:eastAsia="zh-CN"/>
        </w:rPr>
        <w:t>博物馆纪念馆</w:t>
      </w:r>
      <w:r>
        <w:rPr>
          <w:rFonts w:hint="eastAsia"/>
        </w:rPr>
        <w:t>的文物史料是在革命活动中留存下来的遗物和遗迹，通过陈列革命文物、史料以及相关的历史照片，能把革命斗争、英雄人物的光荣事逢奥实直观地呈现在</w:t>
      </w:r>
      <w:r>
        <w:rPr>
          <w:rFonts w:hint="eastAsia"/>
          <w:lang w:eastAsia="zh-CN"/>
        </w:rPr>
        <w:t>小学生</w:t>
      </w:r>
      <w:r>
        <w:rPr>
          <w:rFonts w:hint="eastAsia"/>
        </w:rPr>
        <w:t>的面前，让队员真切感受其承载的革命精神和光荣传统，可以极大地增强思想政治教育的感染力和说服力。广大</w:t>
      </w:r>
      <w:r>
        <w:rPr>
          <w:rFonts w:hint="eastAsia"/>
          <w:lang w:eastAsia="zh-CN"/>
        </w:rPr>
        <w:t>小学生</w:t>
      </w:r>
      <w:r>
        <w:rPr>
          <w:rFonts w:hint="eastAsia"/>
        </w:rPr>
        <w:t>生活成长在和平的环境里，缺少革命历练，通过直面文物、实地感知，有助于他们对革命传统教育内容的理解和接受。</w:t>
      </w:r>
    </w:p>
    <w:p>
      <w:pPr>
        <w:ind w:firstLine="420" w:firstLineChars="200"/>
        <w:jc w:val="left"/>
        <w:rPr>
          <w:rFonts w:hint="eastAsia"/>
        </w:rPr>
      </w:pPr>
      <w:r>
        <w:rPr>
          <w:rFonts w:hint="eastAsia"/>
        </w:rPr>
        <w:t>(三)为</w:t>
      </w:r>
      <w:r>
        <w:rPr>
          <w:rFonts w:hint="eastAsia"/>
          <w:lang w:eastAsia="zh-CN"/>
        </w:rPr>
        <w:t>小学生</w:t>
      </w:r>
      <w:r>
        <w:rPr>
          <w:rFonts w:hint="eastAsia"/>
        </w:rPr>
        <w:t>政治引领丰富教育形式</w:t>
      </w:r>
    </w:p>
    <w:p>
      <w:pPr>
        <w:ind w:firstLine="420" w:firstLineChars="200"/>
        <w:jc w:val="left"/>
        <w:rPr>
          <w:rFonts w:hint="eastAsia"/>
        </w:rPr>
      </w:pPr>
      <w:r>
        <w:rPr>
          <w:rFonts w:hint="eastAsia"/>
        </w:rPr>
        <w:t>用好</w:t>
      </w:r>
      <w:r>
        <w:rPr>
          <w:rFonts w:hint="eastAsia"/>
          <w:lang w:eastAsia="zh-CN"/>
        </w:rPr>
        <w:t>博物馆纪念馆</w:t>
      </w:r>
      <w:r>
        <w:rPr>
          <w:rFonts w:hint="eastAsia"/>
        </w:rPr>
        <w:t>的文字、实物、图片、影像等多种资料，有助于改变传统思政课堂灌输说教式的教育方法，打造“</w:t>
      </w:r>
      <w:r>
        <w:rPr>
          <w:rFonts w:hint="eastAsia"/>
          <w:lang w:val="en-US" w:eastAsia="zh-CN"/>
        </w:rPr>
        <w:t>场馆</w:t>
      </w:r>
      <w:r>
        <w:rPr>
          <w:rFonts w:hint="eastAsia"/>
        </w:rPr>
        <w:t>+思政课堂”的新模式，深入挖掘和充分利用革命场馆红色文化资源，全方位、深层次解读党史，通过多元形式向</w:t>
      </w:r>
      <w:r>
        <w:rPr>
          <w:rFonts w:hint="eastAsia"/>
          <w:lang w:eastAsia="zh-CN"/>
        </w:rPr>
        <w:t>小学生</w:t>
      </w:r>
      <w:r>
        <w:rPr>
          <w:rFonts w:hint="eastAsia"/>
        </w:rPr>
        <w:t>传递中国共产党奋斗历程中所蕴含的世界观、人生观、价值观，阐释好中国共产党为什么“能”、马克思主义为什么“行”、</w:t>
      </w:r>
    </w:p>
    <w:p>
      <w:pPr>
        <w:jc w:val="left"/>
        <w:rPr>
          <w:rFonts w:hint="eastAsia"/>
        </w:rPr>
      </w:pPr>
      <w:r>
        <w:rPr>
          <w:rFonts w:hint="eastAsia"/>
        </w:rPr>
        <w:t>中国特色社会主义为什么“好”的深刻内涵，促进</w:t>
      </w:r>
      <w:r>
        <w:rPr>
          <w:rFonts w:hint="eastAsia"/>
          <w:lang w:eastAsia="zh-CN"/>
        </w:rPr>
        <w:t>小学生</w:t>
      </w:r>
      <w:r>
        <w:rPr>
          <w:rFonts w:hint="eastAsia"/>
        </w:rPr>
        <w:t>思政教育内涵丰富、形式创新、传播有效，引导</w:t>
      </w:r>
      <w:r>
        <w:rPr>
          <w:rFonts w:hint="eastAsia"/>
          <w:lang w:eastAsia="zh-CN"/>
        </w:rPr>
        <w:t>小学生</w:t>
      </w:r>
      <w:r>
        <w:rPr>
          <w:rFonts w:hint="eastAsia"/>
        </w:rPr>
        <w:t>正确认识时代责任和历史使命。</w:t>
      </w:r>
    </w:p>
    <w:p>
      <w:pPr>
        <w:ind w:firstLine="420" w:firstLineChars="200"/>
        <w:jc w:val="left"/>
        <w:rPr>
          <w:rFonts w:hint="eastAsia"/>
          <w:lang w:val="en-US" w:eastAsia="zh-CN"/>
        </w:rPr>
      </w:pPr>
    </w:p>
    <w:p>
      <w:pPr>
        <w:ind w:firstLine="420" w:firstLineChars="200"/>
        <w:jc w:val="left"/>
        <w:rPr>
          <w:rFonts w:hint="eastAsia"/>
          <w:lang w:val="en-US" w:eastAsia="zh-CN"/>
        </w:rPr>
      </w:pPr>
      <w:r>
        <w:rPr>
          <w:rFonts w:hint="eastAsia"/>
          <w:lang w:val="en-US" w:eastAsia="zh-CN"/>
        </w:rPr>
        <w:t>二、对策分析及实例操作</w:t>
      </w:r>
    </w:p>
    <w:p>
      <w:pPr>
        <w:ind w:firstLine="420" w:firstLineChars="200"/>
        <w:jc w:val="left"/>
        <w:rPr>
          <w:rFonts w:hint="eastAsia"/>
          <w:lang w:val="en-US" w:eastAsia="zh-CN"/>
        </w:rPr>
      </w:pPr>
      <w:r>
        <w:rPr>
          <w:rFonts w:hint="eastAsia"/>
          <w:lang w:val="en-US" w:eastAsia="zh-CN"/>
        </w:rPr>
        <w:t>作为常州市的青少年校外实践教育基地，三杰纪念馆始终坚持发挥红色纪念场馆优势，为引领小学生传承红色基因、赓续红色血脉不断努力。</w:t>
      </w:r>
    </w:p>
    <w:p>
      <w:pPr>
        <w:ind w:firstLine="420" w:firstLineChars="200"/>
        <w:jc w:val="left"/>
        <w:rPr>
          <w:rFonts w:hint="eastAsia"/>
          <w:lang w:val="en-US" w:eastAsia="zh-CN"/>
        </w:rPr>
      </w:pPr>
      <w:r>
        <w:rPr>
          <w:rFonts w:hint="eastAsia"/>
          <w:lang w:val="en-US" w:eastAsia="zh-CN"/>
        </w:rPr>
        <w:t>(一)提升专业素养，加强校外辅导员队伍建设</w:t>
      </w:r>
    </w:p>
    <w:p>
      <w:pPr>
        <w:ind w:firstLine="420" w:firstLineChars="200"/>
        <w:jc w:val="left"/>
        <w:rPr>
          <w:rFonts w:hint="eastAsia"/>
          <w:lang w:val="en-US" w:eastAsia="zh-CN"/>
        </w:rPr>
      </w:pPr>
      <w:r>
        <w:rPr>
          <w:rFonts w:hint="eastAsia"/>
          <w:lang w:val="en-US" w:eastAsia="zh-CN"/>
        </w:rPr>
        <w:t>拥有一支专业过硬、富有创新精神的校外辅导员队伍，是利用博物馆纪念馆红色文化资源、开展小学生思想政治教育工作的基本保障。博物馆纪念馆的教育工作者对文物藏品有深入的了解和研究，具有深厚的文博专业知识，而学校教师接受过系统的教学方法培训，有丰富的教学经验和多样的教学技能，因此馆校双方应充分发挥各自优势，密切配合。</w:t>
      </w:r>
    </w:p>
    <w:p>
      <w:pPr>
        <w:ind w:firstLine="420" w:firstLineChars="200"/>
        <w:jc w:val="left"/>
        <w:rPr>
          <w:rFonts w:hint="eastAsia"/>
          <w:lang w:val="en-US" w:eastAsia="zh-CN"/>
        </w:rPr>
      </w:pPr>
      <w:r>
        <w:rPr>
          <w:rFonts w:hint="eastAsia"/>
          <w:lang w:val="en-US" w:eastAsia="zh-CN"/>
        </w:rPr>
        <w:t>(二)创新教育形式，丰富场馆活动供给</w:t>
      </w:r>
    </w:p>
    <w:p>
      <w:pPr>
        <w:ind w:firstLine="420" w:firstLineChars="200"/>
        <w:jc w:val="left"/>
        <w:rPr>
          <w:rFonts w:hint="eastAsia"/>
          <w:lang w:val="en-US" w:eastAsia="zh-CN"/>
        </w:rPr>
      </w:pPr>
      <w:r>
        <w:rPr>
          <w:rFonts w:hint="eastAsia"/>
          <w:lang w:val="en-US" w:eastAsia="zh-CN"/>
        </w:rPr>
        <w:t>要秉持“以人为本”的原则，从学生实际需求出发，把握时代脉搏，贴合社会实际，结合小学生的身心发展特点，策划思政课程的内容和形式。三杰纪念馆推出与非遗文化相关的雕版拓印、科学规艇模型的拼搭、经典史诗的书法描红等多种互动体验，寓学于乐，学生深入浅出地走近红色历史文化。纪念馆结合中国共产党成立纪念日、八一建军节、国庆节等重大时间节点，长期面向小学生开展重温入队誓词等仪式教育，引导小学生从小听党话、跟党走。</w:t>
      </w:r>
    </w:p>
    <w:p>
      <w:pPr>
        <w:ind w:firstLine="420" w:firstLineChars="200"/>
        <w:jc w:val="left"/>
        <w:rPr>
          <w:rFonts w:hint="eastAsia"/>
          <w:lang w:val="en-US" w:eastAsia="zh-CN"/>
        </w:rPr>
      </w:pPr>
      <w:r>
        <w:rPr>
          <w:rFonts w:hint="eastAsia"/>
          <w:lang w:val="en-US" w:eastAsia="zh-CN"/>
        </w:rPr>
        <w:t>(三)注重分层分类，构建思政课程体系</w:t>
      </w:r>
    </w:p>
    <w:p>
      <w:pPr>
        <w:ind w:firstLine="420" w:firstLineChars="200"/>
        <w:jc w:val="left"/>
        <w:rPr>
          <w:rFonts w:hint="eastAsia"/>
          <w:lang w:val="en-US" w:eastAsia="zh-CN"/>
        </w:rPr>
      </w:pPr>
      <w:r>
        <w:rPr>
          <w:rFonts w:hint="eastAsia"/>
          <w:lang w:val="en-US" w:eastAsia="zh-CN"/>
        </w:rPr>
        <w:t>不同学段的青少年认知规律和兴趣特点各不相同，因此，在开发小学生思政教育课程的过程中应遵循青少年的认知发展规律，从学生的兴趣出发，探讨研创专题讲座、案例教学、主题讨论、情景模拟、互动体验等多种多样的教育形式，分层分类构建包含思想、政治、道德、心理和法律教育等系统综合的供给内容体系。</w:t>
      </w:r>
    </w:p>
    <w:p>
      <w:pPr>
        <w:ind w:firstLine="420" w:firstLineChars="200"/>
        <w:jc w:val="left"/>
        <w:rPr>
          <w:rFonts w:hint="eastAsia"/>
          <w:lang w:val="en-US" w:eastAsia="zh-CN"/>
        </w:rPr>
      </w:pPr>
      <w:r>
        <w:rPr>
          <w:rFonts w:hint="eastAsia"/>
          <w:lang w:val="en-US" w:eastAsia="zh-CN"/>
        </w:rPr>
        <w:t>三、结语</w:t>
      </w:r>
    </w:p>
    <w:p>
      <w:pPr>
        <w:ind w:firstLine="420" w:firstLineChars="200"/>
        <w:jc w:val="left"/>
        <w:rPr>
          <w:rFonts w:hint="eastAsia" w:eastAsia="宋体"/>
          <w:lang w:eastAsia="zh-CN"/>
        </w:rPr>
      </w:pPr>
      <w:r>
        <w:rPr>
          <w:rFonts w:hint="eastAsia"/>
          <w:lang w:val="en-US" w:eastAsia="zh-CN"/>
        </w:rPr>
        <w:t>强化少年儿童政治引领，为党培育社会主义合格建设者和可靠接班人，是党赋予思政教师的光荣职责和神圣使命。</w:t>
      </w:r>
    </w:p>
    <w:p>
      <w:pPr>
        <w:jc w:val="both"/>
        <w:rPr>
          <w:rFonts w:hint="eastAsia" w:ascii="微软雅黑" w:hAnsi="微软雅黑" w:eastAsia="微软雅黑" w:cs="微软雅黑"/>
          <w:b w:val="0"/>
          <w:bCs w:val="0"/>
          <w:color w:val="FF0000"/>
          <w:sz w:val="28"/>
          <w:szCs w:val="28"/>
          <w:lang w:val="en-US" w:eastAsia="zh-CN"/>
        </w:rPr>
      </w:pPr>
    </w:p>
    <w:p>
      <w:pPr>
        <w:numPr>
          <w:ilvl w:val="0"/>
          <w:numId w:val="4"/>
        </w:numPr>
        <w:ind w:left="0" w:leftChars="0" w:firstLine="0" w:firstLineChars="0"/>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阅读分享</w:t>
      </w:r>
    </w:p>
    <w:p>
      <w:pPr>
        <w:numPr>
          <w:ilvl w:val="0"/>
          <w:numId w:val="0"/>
        </w:numPr>
        <w:ind w:leftChars="0" w:firstLine="561" w:firstLineChars="200"/>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江苏省奔牛高级中学罗慧芳</w:t>
      </w:r>
    </w:p>
    <w:p>
      <w:pPr>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《法治的细节》阅读分享</w:t>
      </w: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89295" cy="3213735"/>
            <wp:effectExtent l="0" t="0" r="1905" b="5715"/>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8"/>
                    <a:stretch>
                      <a:fillRect/>
                    </a:stretch>
                  </pic:blipFill>
                  <pic:spPr>
                    <a:xfrm>
                      <a:off x="0" y="0"/>
                      <a:ext cx="5789295" cy="32137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6094095" cy="5521325"/>
            <wp:effectExtent l="0" t="0" r="1905" b="3175"/>
            <wp:docPr id="16"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7"/>
                    <pic:cNvPicPr>
                      <a:picLocks noChangeAspect="1"/>
                    </pic:cNvPicPr>
                  </pic:nvPicPr>
                  <pic:blipFill>
                    <a:blip r:embed="rId9"/>
                    <a:stretch>
                      <a:fillRect/>
                    </a:stretch>
                  </pic:blipFill>
                  <pic:spPr>
                    <a:xfrm>
                      <a:off x="0" y="0"/>
                      <a:ext cx="6094095" cy="55213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6133465" cy="5603240"/>
            <wp:effectExtent l="0" t="0" r="635" b="6985"/>
            <wp:docPr id="12"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8"/>
                    <pic:cNvPicPr>
                      <a:picLocks noChangeAspect="1"/>
                    </pic:cNvPicPr>
                  </pic:nvPicPr>
                  <pic:blipFill>
                    <a:blip r:embed="rId10"/>
                    <a:stretch>
                      <a:fillRect/>
                    </a:stretch>
                  </pic:blipFill>
                  <pic:spPr>
                    <a:xfrm>
                      <a:off x="0" y="0"/>
                      <a:ext cx="6133465" cy="560324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6107430" cy="5588000"/>
            <wp:effectExtent l="0" t="0" r="7620" b="3175"/>
            <wp:docPr id="15"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9"/>
                    <pic:cNvPicPr>
                      <a:picLocks noChangeAspect="1"/>
                    </pic:cNvPicPr>
                  </pic:nvPicPr>
                  <pic:blipFill>
                    <a:blip r:embed="rId11"/>
                    <a:stretch>
                      <a:fillRect/>
                    </a:stretch>
                  </pic:blipFill>
                  <pic:spPr>
                    <a:xfrm>
                      <a:off x="0" y="0"/>
                      <a:ext cx="6107430" cy="55880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803265" cy="5296535"/>
            <wp:effectExtent l="0" t="0" r="6985" b="8890"/>
            <wp:docPr id="11"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0"/>
                    <pic:cNvPicPr>
                      <a:picLocks noChangeAspect="1"/>
                    </pic:cNvPicPr>
                  </pic:nvPicPr>
                  <pic:blipFill>
                    <a:blip r:embed="rId12"/>
                    <a:stretch>
                      <a:fillRect/>
                    </a:stretch>
                  </pic:blipFill>
                  <pic:spPr>
                    <a:xfrm>
                      <a:off x="0" y="0"/>
                      <a:ext cx="5803265" cy="52965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744845" cy="5233035"/>
            <wp:effectExtent l="0" t="0" r="8255" b="5715"/>
            <wp:docPr id="13" name="图片 1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1"/>
                    <pic:cNvPicPr>
                      <a:picLocks noChangeAspect="1"/>
                    </pic:cNvPicPr>
                  </pic:nvPicPr>
                  <pic:blipFill>
                    <a:blip r:embed="rId13"/>
                    <a:stretch>
                      <a:fillRect/>
                    </a:stretch>
                  </pic:blipFill>
                  <pic:spPr>
                    <a:xfrm>
                      <a:off x="0" y="0"/>
                      <a:ext cx="5744845" cy="5233035"/>
                    </a:xfrm>
                    <a:prstGeom prst="rect">
                      <a:avLst/>
                    </a:prstGeom>
                    <a:noFill/>
                    <a:ln w="9525">
                      <a:noFill/>
                    </a:ln>
                  </pic:spPr>
                </pic:pic>
              </a:graphicData>
            </a:graphic>
          </wp:inline>
        </w:drawing>
      </w: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ind w:firstLine="420" w:firstLineChars="200"/>
        <w:jc w:val="left"/>
        <w:rPr>
          <w:rFonts w:hint="eastAsia"/>
          <w:lang w:val="en-US" w:eastAsia="zh-CN"/>
        </w:rPr>
      </w:pPr>
      <w:r>
        <w:rPr>
          <w:rFonts w:hint="eastAsia"/>
          <w:lang w:val="en-US" w:eastAsia="zh-CN"/>
        </w:rPr>
        <w:t>秋之美，在于成熟与收获；教之美，在于钻研与提升。10月17日，新北区大中小学思政课一体化建设培育室在三井实验小学开展第二十一次活动，本次活动由培育室领衔人吴海燕校长主持。</w:t>
      </w:r>
    </w:p>
    <w:p>
      <w:pPr>
        <w:ind w:firstLine="420" w:firstLineChars="200"/>
        <w:jc w:val="left"/>
        <w:rPr>
          <w:rFonts w:hint="eastAsia"/>
          <w:lang w:val="en-US" w:eastAsia="zh-CN"/>
        </w:rPr>
      </w:pPr>
      <w:r>
        <w:rPr>
          <w:rFonts w:hint="eastAsia"/>
          <w:lang w:val="en-US" w:eastAsia="zh-CN"/>
        </w:rPr>
        <w:t>面对日新月异的时代变换，引导学生树立辨是非、知善恶的能力至关重要。走进现实生活，我们需正确看待塑料制品的便利与危害；迈入虚拟世界，我们需清晰明辨网络空间的精彩与诱惑。本次活动聚焦学生的健康成长，从生活细微出发，培养学生明辨是非的能力，进而发挥道德与法治课程立德树人的育人功能。 </w:t>
      </w:r>
    </w:p>
    <w:p>
      <w:pPr>
        <w:ind w:firstLine="420" w:firstLineChars="200"/>
        <w:jc w:val="left"/>
        <w:rPr>
          <w:rFonts w:hint="eastAsia"/>
          <w:lang w:val="en-US" w:eastAsia="zh-CN"/>
        </w:rPr>
      </w:pPr>
      <w:r>
        <w:rPr>
          <w:rFonts w:hint="eastAsia"/>
          <w:lang w:val="en-US" w:eastAsia="zh-CN"/>
        </w:rPr>
        <w:t>环节一 精彩课堂</w:t>
      </w:r>
    </w:p>
    <w:p>
      <w:pPr>
        <w:ind w:firstLine="420" w:firstLineChars="200"/>
        <w:jc w:val="left"/>
        <w:rPr>
          <w:rFonts w:hint="eastAsia"/>
          <w:lang w:val="en-US" w:eastAsia="zh-CN"/>
        </w:rPr>
      </w:pPr>
      <w:r>
        <w:rPr>
          <w:rFonts w:hint="eastAsia"/>
          <w:lang w:val="en-US" w:eastAsia="zh-CN"/>
        </w:rPr>
        <w:t>三井实验小学的钱琪瑶老师执教了四年级上册《我们所了解的环境污染》一课。钱老师以“秋游需要带些什么？”为话题导入，调动学生生活经验，让儿童在熟悉的生活场景中发现塑料的随处可见、广泛使用，并进一步设置合作探究任务，依托各种生活常见的塑料制品使学生了解塑料制品的优点。在此基础上，钱老师再次回到秋游视角，以秋游后的“白色污染”现象导入，并借助书中《塑料袋漂流记》，创设故事情境，辅以大量的事实材料，使学生通过观察、发现、交流，感受塑料垃圾堆自然产生的伤害，引导学生思考“减塑”方法，树立环保意识。</w:t>
      </w:r>
    </w:p>
    <w:p>
      <w:pPr>
        <w:ind w:firstLine="420" w:firstLineChars="200"/>
        <w:jc w:val="left"/>
        <w:rPr>
          <w:rFonts w:hint="eastAsia"/>
          <w:lang w:val="en-US" w:eastAsia="zh-CN"/>
        </w:rPr>
      </w:pPr>
      <w:r>
        <w:rPr>
          <w:rFonts w:hint="eastAsia"/>
          <w:lang w:val="en-US" w:eastAsia="zh-CN"/>
        </w:rPr>
        <w:t>新桥第二实验小学的金珂副校长执教了四年级上册《网络新世界》一课。课堂伊始，金校长给同学们带来了新朋友“小度”，激发了学生的课堂兴趣，并让学生切实感受到我们生活在互联的网络地球村。接着，金校长借助课前调查问卷引导学生开展了活动“网络小达人挑战赛”、“网络能量传递站”，让学生充分在活动中感受到网络的精彩与伟大，又进一步依托直观的数据，让学生看到在我们成为网络强国的背后，是无数科研工作者的无私奉献。在此基础上，金校长带领学生开展了“网络利弊我来辨”的辩论活动，让学生在辩论中知其功用，明其弊端，最后，通过“我是网络小贴士”的活动引导学生合理利用网络，做网络的主人，真正凸现了“以生为本”的课堂理念。</w:t>
      </w:r>
    </w:p>
    <w:p>
      <w:pPr>
        <w:ind w:firstLine="420" w:firstLineChars="200"/>
        <w:jc w:val="left"/>
        <w:rPr>
          <w:rFonts w:hint="eastAsia"/>
          <w:lang w:val="en-US" w:eastAsia="zh-CN"/>
        </w:rPr>
      </w:pPr>
      <w:r>
        <w:rPr>
          <w:rFonts w:hint="eastAsia"/>
          <w:lang w:val="en-US" w:eastAsia="zh-CN"/>
        </w:rPr>
        <w:t>环节二 专题阅读</w:t>
      </w:r>
    </w:p>
    <w:p>
      <w:pPr>
        <w:ind w:firstLine="420" w:firstLineChars="200"/>
        <w:jc w:val="left"/>
        <w:rPr>
          <w:rFonts w:hint="eastAsia"/>
          <w:lang w:val="en-US" w:eastAsia="zh-CN"/>
        </w:rPr>
      </w:pPr>
      <w:r>
        <w:rPr>
          <w:rFonts w:hint="eastAsia"/>
          <w:lang w:val="en-US" w:eastAsia="zh-CN"/>
        </w:rPr>
        <w:t>江苏省奔牛高级中学的罗慧芳老师进行了《法治的细节》的阅读分享。罗老师从为什么选择此书、本书核心观点：法律与道德、法律与正义、法律与生命三方面，以及读完此书对一名思政课教师的启发三个角度进行了深入而极具思考的分享。她从法治与生活出发，阐述了作为一名思政教师应具有真正的法治信仰，应懂得“承认无知”，应在教学中“回归生活，言之有物”。 </w:t>
      </w:r>
    </w:p>
    <w:p>
      <w:pPr>
        <w:ind w:firstLine="420" w:firstLineChars="200"/>
        <w:jc w:val="left"/>
        <w:rPr>
          <w:rFonts w:hint="eastAsia"/>
          <w:lang w:val="en-US" w:eastAsia="zh-CN"/>
        </w:rPr>
      </w:pPr>
      <w:r>
        <w:rPr>
          <w:rFonts w:hint="eastAsia"/>
          <w:lang w:val="en-US" w:eastAsia="zh-CN"/>
        </w:rPr>
        <w:t>环节三 第二课堂</w:t>
      </w:r>
    </w:p>
    <w:p>
      <w:pPr>
        <w:ind w:firstLine="420" w:firstLineChars="200"/>
        <w:jc w:val="left"/>
        <w:rPr>
          <w:rFonts w:hint="eastAsia"/>
          <w:lang w:val="en-US" w:eastAsia="zh-CN"/>
        </w:rPr>
      </w:pPr>
      <w:r>
        <w:rPr>
          <w:rFonts w:hint="eastAsia"/>
          <w:lang w:val="en-US" w:eastAsia="zh-CN"/>
        </w:rPr>
        <w:t>三井实验小学的钱琪瑶老师进行了《结合地方资源，强化政治引领》的实践活动分享。钱老师以湿地保护为例，主要从研究目的与意义、研究过程、研究成果等角度展开。在研究过程环节，他们充分利用地方资源，开展了问卷调查、参观常州自然展厅、湿地摄影展、走进湿地公园测水质等一系列活动，带领学生一起走进神奇的湿地生态，并在活动后共同发起保护湿地倡议，在活动探访中坚持了学科逻辑与生活逻辑相统一，为我们展示了一次生动的“行走的思政课”。 </w:t>
      </w:r>
    </w:p>
    <w:p>
      <w:pPr>
        <w:ind w:firstLine="420" w:firstLineChars="200"/>
        <w:jc w:val="left"/>
        <w:rPr>
          <w:rFonts w:hint="eastAsia"/>
          <w:lang w:val="en-US" w:eastAsia="zh-CN"/>
        </w:rPr>
      </w:pPr>
      <w:r>
        <w:rPr>
          <w:rFonts w:hint="eastAsia"/>
          <w:lang w:val="en-US" w:eastAsia="zh-CN"/>
        </w:rPr>
        <w:t>环节四 研讨学习</w:t>
      </w:r>
    </w:p>
    <w:p>
      <w:pPr>
        <w:ind w:firstLine="420" w:firstLineChars="200"/>
        <w:jc w:val="left"/>
        <w:rPr>
          <w:rFonts w:hint="eastAsia"/>
          <w:lang w:val="en-US" w:eastAsia="zh-CN"/>
        </w:rPr>
      </w:pPr>
      <w:r>
        <w:rPr>
          <w:rFonts w:hint="eastAsia"/>
          <w:lang w:val="en-US" w:eastAsia="zh-CN"/>
        </w:rPr>
        <w:t>在领衔人吴海燕校长的组织下，针对“如何在课堂中设计有价值的思辨？”、“如何让教学目标定位更精准？”、“如何从学生角度更好的运用资源？”这些问题，培育室小伙伴们畅所欲言，提出自己的思考和建议。思维观点的碰撞中，大家都收获颇丰。</w:t>
      </w:r>
    </w:p>
    <w:p>
      <w:pPr>
        <w:ind w:firstLine="420" w:firstLineChars="200"/>
        <w:jc w:val="left"/>
        <w:rPr>
          <w:rFonts w:hint="eastAsia"/>
          <w:lang w:val="en-US" w:eastAsia="zh-CN"/>
        </w:rPr>
      </w:pPr>
      <w:r>
        <w:rPr>
          <w:rFonts w:hint="eastAsia"/>
          <w:lang w:val="en-US" w:eastAsia="zh-CN"/>
        </w:rPr>
        <w:t>行之有舵促提升，众行致远赋成长。本次的研修活动虽然结束了，但思考还在继续，探索还在进行，我们将带着收获和启迪，在应用实践中，采撷芬芳，沐浴阳光，让教研之花精彩绽放。让教师教亦有“道”  ，让师生乐在“法”中，推动课程教学质量的高效提升。</w:t>
      </w:r>
    </w:p>
    <w:p>
      <w:pPr>
        <w:ind w:firstLine="420" w:firstLineChars="200"/>
        <w:jc w:val="left"/>
        <w:rPr>
          <w:rFonts w:hint="eastAsia"/>
          <w:lang w:val="en-US" w:eastAsia="zh-CN"/>
        </w:rPr>
      </w:pPr>
      <w:r>
        <w:rPr>
          <w:rFonts w:hint="eastAsia"/>
          <w:lang w:val="en-US" w:eastAsia="zh-CN"/>
        </w:rPr>
        <w:t>（撰稿：罗慧芳 摄影：罗慧芳 审核：吴海燕）</w:t>
      </w:r>
    </w:p>
    <w:p>
      <w:pPr>
        <w:pStyle w:val="6"/>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10"/>
          <w:szCs w:val="10"/>
        </w:rPr>
      </w:pPr>
      <w:r>
        <w:rPr>
          <w:rFonts w:hint="eastAsia" w:ascii="宋体" w:hAnsi="宋体" w:eastAsia="宋体" w:cs="宋体"/>
          <w:i w:val="0"/>
          <w:iCs w:val="0"/>
          <w:caps w:val="0"/>
          <w:color w:val="auto"/>
          <w:spacing w:val="0"/>
          <w:sz w:val="10"/>
          <w:szCs w:val="10"/>
          <w:u w:val="none"/>
          <w:shd w:val="clear" w:fill="FFFFFF"/>
        </w:rPr>
        <w:drawing>
          <wp:inline distT="0" distB="0" distL="114300" distR="114300">
            <wp:extent cx="5645150" cy="4234180"/>
            <wp:effectExtent l="0" t="0" r="3175" b="4445"/>
            <wp:docPr id="9" name="图片 1" descr="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jpg"/>
                    <pic:cNvPicPr>
                      <a:picLocks noChangeAspect="1"/>
                    </pic:cNvPicPr>
                  </pic:nvPicPr>
                  <pic:blipFill>
                    <a:blip r:embed="rId15"/>
                    <a:stretch>
                      <a:fillRect/>
                    </a:stretch>
                  </pic:blipFill>
                  <pic:spPr>
                    <a:xfrm>
                      <a:off x="0" y="0"/>
                      <a:ext cx="5645150" cy="4234180"/>
                    </a:xfrm>
                    <a:prstGeom prst="rect">
                      <a:avLst/>
                    </a:prstGeom>
                    <a:noFill/>
                    <a:ln w="9525">
                      <a:noFill/>
                    </a:ln>
                  </pic:spPr>
                </pic:pic>
              </a:graphicData>
            </a:graphic>
          </wp:inline>
        </w:drawing>
      </w:r>
    </w:p>
    <w:p>
      <w:pPr>
        <w:pStyle w:val="6"/>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10"/>
          <w:szCs w:val="10"/>
        </w:rPr>
      </w:pPr>
      <w:r>
        <w:rPr>
          <w:rFonts w:hint="eastAsia" w:ascii="宋体" w:hAnsi="宋体" w:eastAsia="宋体" w:cs="宋体"/>
          <w:i w:val="0"/>
          <w:iCs w:val="0"/>
          <w:caps w:val="0"/>
          <w:color w:val="auto"/>
          <w:spacing w:val="0"/>
          <w:sz w:val="10"/>
          <w:szCs w:val="10"/>
          <w:u w:val="none"/>
          <w:shd w:val="clear" w:fill="FFFFFF"/>
        </w:rPr>
        <w:drawing>
          <wp:inline distT="0" distB="0" distL="114300" distR="114300">
            <wp:extent cx="5739765" cy="4304030"/>
            <wp:effectExtent l="0" t="0" r="3810" b="1270"/>
            <wp:docPr id="10" name="图片 2" descr="第二课堂.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第二课堂.jpg"/>
                    <pic:cNvPicPr>
                      <a:picLocks noChangeAspect="1"/>
                    </pic:cNvPicPr>
                  </pic:nvPicPr>
                  <pic:blipFill>
                    <a:blip r:embed="rId17"/>
                    <a:stretch>
                      <a:fillRect/>
                    </a:stretch>
                  </pic:blipFill>
                  <pic:spPr>
                    <a:xfrm>
                      <a:off x="0" y="0"/>
                      <a:ext cx="5739765" cy="4304030"/>
                    </a:xfrm>
                    <a:prstGeom prst="rect">
                      <a:avLst/>
                    </a:prstGeom>
                    <a:noFill/>
                    <a:ln w="9525">
                      <a:noFill/>
                    </a:ln>
                  </pic:spPr>
                </pic:pic>
              </a:graphicData>
            </a:graphic>
          </wp:inline>
        </w:drawing>
      </w:r>
    </w:p>
    <w:p>
      <w:pPr>
        <w:pStyle w:val="6"/>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10"/>
          <w:szCs w:val="10"/>
        </w:rPr>
      </w:pPr>
      <w:r>
        <w:rPr>
          <w:rFonts w:hint="eastAsia" w:ascii="宋体" w:hAnsi="宋体" w:eastAsia="宋体" w:cs="宋体"/>
          <w:i w:val="0"/>
          <w:iCs w:val="0"/>
          <w:caps w:val="0"/>
          <w:color w:val="auto"/>
          <w:spacing w:val="0"/>
          <w:sz w:val="10"/>
          <w:szCs w:val="10"/>
          <w:u w:val="none"/>
          <w:shd w:val="clear" w:fill="FFFFFF"/>
        </w:rPr>
        <w:drawing>
          <wp:inline distT="0" distB="0" distL="114300" distR="114300">
            <wp:extent cx="5713095" cy="4284980"/>
            <wp:effectExtent l="0" t="0" r="1905" b="1270"/>
            <wp:docPr id="7" name="图片 3" descr="课堂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课堂1.jpg"/>
                    <pic:cNvPicPr>
                      <a:picLocks noChangeAspect="1"/>
                    </pic:cNvPicPr>
                  </pic:nvPicPr>
                  <pic:blipFill>
                    <a:blip r:embed="rId19"/>
                    <a:stretch>
                      <a:fillRect/>
                    </a:stretch>
                  </pic:blipFill>
                  <pic:spPr>
                    <a:xfrm>
                      <a:off x="0" y="0"/>
                      <a:ext cx="5713095" cy="4284980"/>
                    </a:xfrm>
                    <a:prstGeom prst="rect">
                      <a:avLst/>
                    </a:prstGeom>
                    <a:noFill/>
                    <a:ln w="9525">
                      <a:noFill/>
                    </a:ln>
                  </pic:spPr>
                </pic:pic>
              </a:graphicData>
            </a:graphic>
          </wp:inline>
        </w:drawing>
      </w:r>
    </w:p>
    <w:p>
      <w:pPr>
        <w:pStyle w:val="6"/>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10"/>
          <w:szCs w:val="10"/>
        </w:rPr>
      </w:pPr>
      <w:r>
        <w:rPr>
          <w:rFonts w:hint="eastAsia" w:ascii="宋体" w:hAnsi="宋体" w:eastAsia="宋体" w:cs="宋体"/>
          <w:i w:val="0"/>
          <w:iCs w:val="0"/>
          <w:caps w:val="0"/>
          <w:color w:val="auto"/>
          <w:spacing w:val="0"/>
          <w:sz w:val="10"/>
          <w:szCs w:val="10"/>
          <w:u w:val="none"/>
          <w:shd w:val="clear" w:fill="FFFFFF"/>
        </w:rPr>
        <w:drawing>
          <wp:inline distT="0" distB="0" distL="114300" distR="114300">
            <wp:extent cx="5688965" cy="4267200"/>
            <wp:effectExtent l="0" t="0" r="6985" b="0"/>
            <wp:docPr id="3" name="图片 4" descr="课堂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课堂5.jpg"/>
                    <pic:cNvPicPr>
                      <a:picLocks noChangeAspect="1"/>
                    </pic:cNvPicPr>
                  </pic:nvPicPr>
                  <pic:blipFill>
                    <a:blip r:embed="rId21"/>
                    <a:stretch>
                      <a:fillRect/>
                    </a:stretch>
                  </pic:blipFill>
                  <pic:spPr>
                    <a:xfrm>
                      <a:off x="0" y="0"/>
                      <a:ext cx="5688965" cy="4267200"/>
                    </a:xfrm>
                    <a:prstGeom prst="rect">
                      <a:avLst/>
                    </a:prstGeom>
                    <a:noFill/>
                    <a:ln w="9525">
                      <a:noFill/>
                    </a:ln>
                  </pic:spPr>
                </pic:pic>
              </a:graphicData>
            </a:graphic>
          </wp:inline>
        </w:drawing>
      </w:r>
    </w:p>
    <w:p>
      <w:pPr>
        <w:pStyle w:val="6"/>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10"/>
          <w:szCs w:val="10"/>
        </w:rPr>
      </w:pPr>
      <w:r>
        <w:rPr>
          <w:rFonts w:hint="eastAsia" w:ascii="宋体" w:hAnsi="宋体" w:eastAsia="宋体" w:cs="宋体"/>
          <w:i w:val="0"/>
          <w:iCs w:val="0"/>
          <w:caps w:val="0"/>
          <w:color w:val="auto"/>
          <w:spacing w:val="0"/>
          <w:sz w:val="10"/>
          <w:szCs w:val="10"/>
          <w:u w:val="none"/>
          <w:shd w:val="clear" w:fill="FFFFFF"/>
        </w:rPr>
        <w:drawing>
          <wp:inline distT="0" distB="0" distL="114300" distR="114300">
            <wp:extent cx="5680075" cy="4261485"/>
            <wp:effectExtent l="0" t="0" r="6350" b="5715"/>
            <wp:docPr id="4" name="图片 5" descr="研讨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研讨1.jpg"/>
                    <pic:cNvPicPr>
                      <a:picLocks noChangeAspect="1"/>
                    </pic:cNvPicPr>
                  </pic:nvPicPr>
                  <pic:blipFill>
                    <a:blip r:embed="rId23"/>
                    <a:stretch>
                      <a:fillRect/>
                    </a:stretch>
                  </pic:blipFill>
                  <pic:spPr>
                    <a:xfrm>
                      <a:off x="0" y="0"/>
                      <a:ext cx="5680075" cy="4261485"/>
                    </a:xfrm>
                    <a:prstGeom prst="rect">
                      <a:avLst/>
                    </a:prstGeom>
                    <a:noFill/>
                    <a:ln w="9525">
                      <a:noFill/>
                    </a:ln>
                  </pic:spPr>
                </pic:pic>
              </a:graphicData>
            </a:graphic>
          </wp:inline>
        </w:drawing>
      </w:r>
    </w:p>
    <w:p>
      <w:pPr>
        <w:pStyle w:val="6"/>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10"/>
          <w:szCs w:val="10"/>
        </w:rPr>
      </w:pPr>
      <w:r>
        <w:rPr>
          <w:rFonts w:hint="eastAsia" w:ascii="宋体" w:hAnsi="宋体" w:eastAsia="宋体" w:cs="宋体"/>
          <w:i w:val="0"/>
          <w:iCs w:val="0"/>
          <w:caps w:val="0"/>
          <w:color w:val="auto"/>
          <w:spacing w:val="0"/>
          <w:sz w:val="10"/>
          <w:szCs w:val="10"/>
          <w:u w:val="none"/>
          <w:shd w:val="clear" w:fill="FFFFFF"/>
        </w:rPr>
        <w:drawing>
          <wp:inline distT="0" distB="0" distL="114300" distR="114300">
            <wp:extent cx="5391785" cy="4044950"/>
            <wp:effectExtent l="0" t="0" r="8890" b="3175"/>
            <wp:docPr id="5" name="图片 6" descr="研讨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研讨3.jpg"/>
                    <pic:cNvPicPr>
                      <a:picLocks noChangeAspect="1"/>
                    </pic:cNvPicPr>
                  </pic:nvPicPr>
                  <pic:blipFill>
                    <a:blip r:embed="rId25"/>
                    <a:stretch>
                      <a:fillRect/>
                    </a:stretch>
                  </pic:blipFill>
                  <pic:spPr>
                    <a:xfrm>
                      <a:off x="0" y="0"/>
                      <a:ext cx="5391785" cy="4044950"/>
                    </a:xfrm>
                    <a:prstGeom prst="rect">
                      <a:avLst/>
                    </a:prstGeom>
                    <a:noFill/>
                    <a:ln w="9525">
                      <a:noFill/>
                    </a:ln>
                  </pic:spPr>
                </pic:pic>
              </a:graphicData>
            </a:graphic>
          </wp:inline>
        </w:drawing>
      </w:r>
    </w:p>
    <w:p>
      <w:pPr>
        <w:pStyle w:val="6"/>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10"/>
          <w:szCs w:val="10"/>
        </w:rPr>
      </w:pPr>
      <w:r>
        <w:rPr>
          <w:rFonts w:hint="eastAsia" w:ascii="宋体" w:hAnsi="宋体" w:eastAsia="宋体" w:cs="宋体"/>
          <w:i w:val="0"/>
          <w:iCs w:val="0"/>
          <w:caps w:val="0"/>
          <w:color w:val="auto"/>
          <w:spacing w:val="0"/>
          <w:sz w:val="10"/>
          <w:szCs w:val="10"/>
          <w:u w:val="none"/>
          <w:shd w:val="clear" w:fill="FFFFFF"/>
        </w:rPr>
        <w:drawing>
          <wp:inline distT="0" distB="0" distL="114300" distR="114300">
            <wp:extent cx="5367020" cy="4025265"/>
            <wp:effectExtent l="0" t="0" r="5080" b="3810"/>
            <wp:docPr id="6" name="图片 7" descr="阅读.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阅读.jpg"/>
                    <pic:cNvPicPr>
                      <a:picLocks noChangeAspect="1"/>
                    </pic:cNvPicPr>
                  </pic:nvPicPr>
                  <pic:blipFill>
                    <a:blip r:embed="rId27"/>
                    <a:stretch>
                      <a:fillRect/>
                    </a:stretch>
                  </pic:blipFill>
                  <pic:spPr>
                    <a:xfrm>
                      <a:off x="0" y="0"/>
                      <a:ext cx="5367020" cy="4025265"/>
                    </a:xfrm>
                    <a:prstGeom prst="rect">
                      <a:avLst/>
                    </a:prstGeom>
                    <a:noFill/>
                    <a:ln w="9525">
                      <a:noFill/>
                    </a:ln>
                  </pic:spPr>
                </pic:pic>
              </a:graphicData>
            </a:graphic>
          </wp:inline>
        </w:drawing>
      </w:r>
    </w:p>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（本期资料整理：三井实验小学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钱琪瑶）</w:t>
      </w:r>
    </w:p>
    <w:p>
      <w:pPr>
        <w:rPr>
          <w:rFonts w:hint="eastAsia" w:ascii="微软雅黑" w:hAnsi="微软雅黑" w:eastAsia="微软雅黑" w:cs="微软雅黑"/>
          <w:b w:val="0"/>
          <w:bCs w:val="0"/>
          <w:color w:val="FF0000"/>
          <w:sz w:val="28"/>
          <w:szCs w:val="28"/>
          <w:lang w:val="en-US" w:eastAsia="zh-CN"/>
        </w:rPr>
      </w:pP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auto"/>
    <w:pitch w:val="default"/>
    <w:sig w:usb0="00000000" w:usb1="00000000" w:usb2="00000016" w:usb3="00000000" w:csb0="0004001F" w:csb1="00000000"/>
  </w:font>
  <w:font w:name="undefined">
    <w:altName w:val="苹方-简"/>
    <w:panose1 w:val="00000000000000000000"/>
    <w:charset w:val="00"/>
    <w:family w:val="auto"/>
    <w:pitch w:val="default"/>
    <w:sig w:usb0="00000000" w:usb1="00000000"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苹方-简">
    <w:panose1 w:val="020B0400000000000000"/>
    <w:charset w:val="86"/>
    <w:family w:val="auto"/>
    <w:pitch w:val="default"/>
    <w:sig w:usb0="A00002FF" w:usb1="7ACFFDFB" w:usb2="00000017"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x5e1zjECAABhBAAADgAAAAAAAAABACAAAAA1&#10;AQAAZHJzL2Uyb0RvYy54bWxQSwUGAAAAAAYABgBZAQAA2A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579F9"/>
    <w:multiLevelType w:val="singleLevel"/>
    <w:tmpl w:val="872579F9"/>
    <w:lvl w:ilvl="0" w:tentative="0">
      <w:start w:val="2"/>
      <w:numFmt w:val="decimal"/>
      <w:lvlText w:val="%1."/>
      <w:lvlJc w:val="left"/>
      <w:pPr>
        <w:tabs>
          <w:tab w:val="left" w:pos="312"/>
        </w:tabs>
      </w:pPr>
    </w:lvl>
  </w:abstractNum>
  <w:abstractNum w:abstractNumId="1">
    <w:nsid w:val="9D752346"/>
    <w:multiLevelType w:val="singleLevel"/>
    <w:tmpl w:val="9D752346"/>
    <w:lvl w:ilvl="0" w:tentative="0">
      <w:start w:val="2"/>
      <w:numFmt w:val="decimal"/>
      <w:lvlText w:val="%1."/>
      <w:lvlJc w:val="left"/>
      <w:pPr>
        <w:tabs>
          <w:tab w:val="left" w:pos="312"/>
        </w:tabs>
      </w:pPr>
    </w:lvl>
  </w:abstractNum>
  <w:abstractNum w:abstractNumId="2">
    <w:nsid w:val="57EB9822"/>
    <w:multiLevelType w:val="singleLevel"/>
    <w:tmpl w:val="57EB9822"/>
    <w:lvl w:ilvl="0" w:tentative="0">
      <w:start w:val="5"/>
      <w:numFmt w:val="chineseCounting"/>
      <w:suff w:val="nothing"/>
      <w:lvlText w:val="%1、"/>
      <w:lvlJc w:val="left"/>
      <w:rPr>
        <w:rFonts w:hint="eastAsia"/>
      </w:rPr>
    </w:lvl>
  </w:abstractNum>
  <w:abstractNum w:abstractNumId="3">
    <w:nsid w:val="799B7212"/>
    <w:multiLevelType w:val="singleLevel"/>
    <w:tmpl w:val="799B7212"/>
    <w:lvl w:ilvl="0" w:tentative="0">
      <w:start w:val="1"/>
      <w:numFmt w:val="decimal"/>
      <w:lvlText w:val="%1."/>
      <w:lvlJc w:val="left"/>
      <w:pPr>
        <w:tabs>
          <w:tab w:val="left" w:pos="312"/>
        </w:tabs>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N2YzZGFiNmZhNjIyMzg5ZDBmYTIwNGU3ZDkxOTgifQ=="/>
  </w:docVars>
  <w:rsids>
    <w:rsidRoot w:val="627B4938"/>
    <w:rsid w:val="002B3BB5"/>
    <w:rsid w:val="0037181F"/>
    <w:rsid w:val="00A946E0"/>
    <w:rsid w:val="02337D11"/>
    <w:rsid w:val="03C07382"/>
    <w:rsid w:val="03E47515"/>
    <w:rsid w:val="043D3079"/>
    <w:rsid w:val="04DF6D68"/>
    <w:rsid w:val="05551D4C"/>
    <w:rsid w:val="05ED7736"/>
    <w:rsid w:val="074C52A5"/>
    <w:rsid w:val="076B5D5B"/>
    <w:rsid w:val="08C73A63"/>
    <w:rsid w:val="09CA2D09"/>
    <w:rsid w:val="0D7336B7"/>
    <w:rsid w:val="0F5A0F7A"/>
    <w:rsid w:val="0FF791B1"/>
    <w:rsid w:val="114642B3"/>
    <w:rsid w:val="121674FD"/>
    <w:rsid w:val="151C63E2"/>
    <w:rsid w:val="162E461F"/>
    <w:rsid w:val="179E3A27"/>
    <w:rsid w:val="17EC4D08"/>
    <w:rsid w:val="1A505049"/>
    <w:rsid w:val="1B676FF2"/>
    <w:rsid w:val="1BCC765F"/>
    <w:rsid w:val="1C326972"/>
    <w:rsid w:val="1C496E68"/>
    <w:rsid w:val="1C724C49"/>
    <w:rsid w:val="1CF52CD4"/>
    <w:rsid w:val="1E857077"/>
    <w:rsid w:val="1F95149F"/>
    <w:rsid w:val="204038CD"/>
    <w:rsid w:val="215C51AC"/>
    <w:rsid w:val="22A30143"/>
    <w:rsid w:val="23411F61"/>
    <w:rsid w:val="23E32EED"/>
    <w:rsid w:val="241272B1"/>
    <w:rsid w:val="25A124F0"/>
    <w:rsid w:val="26911877"/>
    <w:rsid w:val="26A40557"/>
    <w:rsid w:val="27453C2A"/>
    <w:rsid w:val="276F7EC0"/>
    <w:rsid w:val="277255C6"/>
    <w:rsid w:val="28033B5E"/>
    <w:rsid w:val="28D252DE"/>
    <w:rsid w:val="29793DBF"/>
    <w:rsid w:val="29977937"/>
    <w:rsid w:val="2B151B38"/>
    <w:rsid w:val="2C424529"/>
    <w:rsid w:val="2CB103B3"/>
    <w:rsid w:val="2D40293F"/>
    <w:rsid w:val="2D7B4196"/>
    <w:rsid w:val="2D850B71"/>
    <w:rsid w:val="2DD5659D"/>
    <w:rsid w:val="2FDB0F1C"/>
    <w:rsid w:val="30AD6B2B"/>
    <w:rsid w:val="312F4341"/>
    <w:rsid w:val="315006C5"/>
    <w:rsid w:val="32167F56"/>
    <w:rsid w:val="324A0D23"/>
    <w:rsid w:val="32D24C8B"/>
    <w:rsid w:val="32FFAEAE"/>
    <w:rsid w:val="3366208C"/>
    <w:rsid w:val="3373540D"/>
    <w:rsid w:val="33AE7A02"/>
    <w:rsid w:val="33C63304"/>
    <w:rsid w:val="3428494C"/>
    <w:rsid w:val="34930017"/>
    <w:rsid w:val="3529272A"/>
    <w:rsid w:val="35FE42C7"/>
    <w:rsid w:val="36725530"/>
    <w:rsid w:val="369439B3"/>
    <w:rsid w:val="379F1E44"/>
    <w:rsid w:val="37B805A2"/>
    <w:rsid w:val="393A4F06"/>
    <w:rsid w:val="3A5F20C0"/>
    <w:rsid w:val="3A664085"/>
    <w:rsid w:val="3ABE5D1D"/>
    <w:rsid w:val="3B0009D5"/>
    <w:rsid w:val="3B0565E7"/>
    <w:rsid w:val="3B4958D4"/>
    <w:rsid w:val="3EF141B2"/>
    <w:rsid w:val="3F6F1681"/>
    <w:rsid w:val="400F4562"/>
    <w:rsid w:val="40DD105C"/>
    <w:rsid w:val="40F914BD"/>
    <w:rsid w:val="42CB3072"/>
    <w:rsid w:val="43222321"/>
    <w:rsid w:val="436526B2"/>
    <w:rsid w:val="447A23E8"/>
    <w:rsid w:val="44A01EF8"/>
    <w:rsid w:val="45C73FC5"/>
    <w:rsid w:val="46A86093"/>
    <w:rsid w:val="479934B5"/>
    <w:rsid w:val="490404DF"/>
    <w:rsid w:val="4A55789B"/>
    <w:rsid w:val="4B7D501F"/>
    <w:rsid w:val="4CA0731E"/>
    <w:rsid w:val="4D44042A"/>
    <w:rsid w:val="4DBD4437"/>
    <w:rsid w:val="4E7E71EB"/>
    <w:rsid w:val="4EC92B5C"/>
    <w:rsid w:val="4FF2273E"/>
    <w:rsid w:val="526B6D5E"/>
    <w:rsid w:val="53DF97AA"/>
    <w:rsid w:val="53FA7313"/>
    <w:rsid w:val="5515015F"/>
    <w:rsid w:val="551E1FFA"/>
    <w:rsid w:val="579EE63F"/>
    <w:rsid w:val="580F0A9E"/>
    <w:rsid w:val="5AD01FCE"/>
    <w:rsid w:val="5CA06053"/>
    <w:rsid w:val="5D086F45"/>
    <w:rsid w:val="5DFB6FBD"/>
    <w:rsid w:val="5E5E4943"/>
    <w:rsid w:val="5E7861D3"/>
    <w:rsid w:val="5EDD4CF4"/>
    <w:rsid w:val="5F8E0EB6"/>
    <w:rsid w:val="5F926F9A"/>
    <w:rsid w:val="607B0872"/>
    <w:rsid w:val="60B5753A"/>
    <w:rsid w:val="627B4938"/>
    <w:rsid w:val="62B30C99"/>
    <w:rsid w:val="637328CF"/>
    <w:rsid w:val="640B372B"/>
    <w:rsid w:val="64EE4C72"/>
    <w:rsid w:val="65472233"/>
    <w:rsid w:val="65775884"/>
    <w:rsid w:val="65CA38DD"/>
    <w:rsid w:val="66FC25F4"/>
    <w:rsid w:val="67527D5E"/>
    <w:rsid w:val="677B7CB5"/>
    <w:rsid w:val="679F2151"/>
    <w:rsid w:val="68750089"/>
    <w:rsid w:val="690E58E3"/>
    <w:rsid w:val="69B93927"/>
    <w:rsid w:val="6B810E3A"/>
    <w:rsid w:val="6D1A4ACE"/>
    <w:rsid w:val="6F5EA24B"/>
    <w:rsid w:val="6FDE5FEA"/>
    <w:rsid w:val="70CD7E32"/>
    <w:rsid w:val="70F414C0"/>
    <w:rsid w:val="71A60683"/>
    <w:rsid w:val="723C0A79"/>
    <w:rsid w:val="72BDE8ED"/>
    <w:rsid w:val="734E2D80"/>
    <w:rsid w:val="76826AAD"/>
    <w:rsid w:val="76B9C2F7"/>
    <w:rsid w:val="77EF4470"/>
    <w:rsid w:val="787640B9"/>
    <w:rsid w:val="78F85C68"/>
    <w:rsid w:val="792C536E"/>
    <w:rsid w:val="798C63B0"/>
    <w:rsid w:val="79B219B2"/>
    <w:rsid w:val="7A4B0754"/>
    <w:rsid w:val="7A5C3FD5"/>
    <w:rsid w:val="7A601D17"/>
    <w:rsid w:val="7BDF6C6B"/>
    <w:rsid w:val="7CFDD16C"/>
    <w:rsid w:val="7DC784CE"/>
    <w:rsid w:val="7E7F30B0"/>
    <w:rsid w:val="7EE10444"/>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paragraph" w:styleId="13">
    <w:name w:val="List Paragraph"/>
    <w:basedOn w:val="1"/>
    <w:qFormat/>
    <w:uiPriority w:val="34"/>
    <w:pPr>
      <w:ind w:firstLine="420" w:firstLineChars="200"/>
    </w:pPr>
  </w:style>
  <w:style w:type="paragraph" w:customStyle="1" w:styleId="14">
    <w:name w:val="Table Text"/>
    <w:basedOn w:val="1"/>
    <w:semiHidden/>
    <w:qFormat/>
    <w:uiPriority w:val="0"/>
    <w:rPr>
      <w:rFonts w:ascii="宋体" w:hAnsi="宋体" w:eastAsia="宋体" w:cs="宋体"/>
      <w:sz w:val="23"/>
      <w:szCs w:val="23"/>
      <w:lang w:val="en-US" w:eastAsia="en-US" w:bidi="ar-SA"/>
    </w:rPr>
  </w:style>
  <w:style w:type="table" w:customStyle="1" w:styleId="1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jpeg"/><Relationship Id="rId26" Type="http://schemas.openxmlformats.org/officeDocument/2006/relationships/hyperlink" Target="https://oss.simiyun.cn/upload/20241017/56d484f0eea64f7b8962297a45e0d92f.jpg" TargetMode="External"/><Relationship Id="rId25" Type="http://schemas.openxmlformats.org/officeDocument/2006/relationships/image" Target="media/image14.jpeg"/><Relationship Id="rId24" Type="http://schemas.openxmlformats.org/officeDocument/2006/relationships/hyperlink" Target="https://oss.simiyun.cn/upload/20241017/d79264b218d24407b9b9b723d543525e.jpg" TargetMode="External"/><Relationship Id="rId23" Type="http://schemas.openxmlformats.org/officeDocument/2006/relationships/image" Target="media/image13.jpeg"/><Relationship Id="rId22" Type="http://schemas.openxmlformats.org/officeDocument/2006/relationships/hyperlink" Target="https://oss.simiyun.cn/upload/20241017/03c418b7d427462ea23bde1b7d6a6e38.jpg" TargetMode="External"/><Relationship Id="rId21" Type="http://schemas.openxmlformats.org/officeDocument/2006/relationships/image" Target="media/image12.jpeg"/><Relationship Id="rId20" Type="http://schemas.openxmlformats.org/officeDocument/2006/relationships/hyperlink" Target="https://oss.simiyun.cn/upload/20241017/cb97001a216b4866b3697fe1d0991b45.jpg" TargetMode="Externa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hyperlink" Target="https://oss.simiyun.cn/upload/20241017/d0b3342f4adb40be88117507ab9e1ac2.jpg" TargetMode="External"/><Relationship Id="rId17" Type="http://schemas.openxmlformats.org/officeDocument/2006/relationships/image" Target="media/image10.jpeg"/><Relationship Id="rId16" Type="http://schemas.openxmlformats.org/officeDocument/2006/relationships/hyperlink" Target="https://oss.simiyun.cn/upload/20241017/47b0057dd9554eb1adc02361c4da16bf.jpg" TargetMode="External"/><Relationship Id="rId15" Type="http://schemas.openxmlformats.org/officeDocument/2006/relationships/image" Target="media/image9.jpeg"/><Relationship Id="rId14" Type="http://schemas.openxmlformats.org/officeDocument/2006/relationships/hyperlink" Target="https://oss.simiyun.cn/upload/20241017/1ca648ff4a214ca69e297640d7c252f2.jpg" TargetMode="Externa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9325</Words>
  <Characters>9437</Characters>
  <Lines>0</Lines>
  <Paragraphs>0</Paragraphs>
  <TotalTime>5</TotalTime>
  <ScaleCrop>false</ScaleCrop>
  <LinksUpToDate>false</LinksUpToDate>
  <CharactersWithSpaces>9527</CharactersWithSpaces>
  <Application>WPS Office_6.2.0.8299_F1E327BC-269C-435d-A152-05C5408002CA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2022-10-21T00:00:00Z</dcterms:created>
  <dc:creator>刀&amp;九</dc:creator>
  <cp:lastModifiedBy>淡淡</cp:lastModifiedBy>
  <dcterms:modified xsi:type="dcterms:W3CDTF">2025-01-02T15:21:34Z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2052-6.2.0.8299</vt:lpwstr>
  </property>
  <property fmtid="{D5CDD505-2E9C-101B-9397-08002B2CF9AE}" pid="3" name="ICV">
    <vt:lpwstr>2B6889917AB0F6D07E3E7667F46DC7B9_43</vt:lpwstr>
  </property>
</Properties>
</file>