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F8CD2" w14:textId="5B35E35E" w:rsidR="00573A24" w:rsidRPr="00573A24" w:rsidRDefault="00573A24" w:rsidP="00573A24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《故事二则》教学反思</w:t>
      </w:r>
    </w:p>
    <w:p w14:paraId="63FA22F6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《故事二则》包括两则寓言故事。《扁鹊治病》警示人们要防微杜渐，善于听取别人正确的意见。《纪昌学射》以生动的事例阐明了无论学什么技艺，都要从学习这门技艺的基本功入手的道理。本篇课文是一篇略读课文，通过阅读，引导学生运用积累的学习方法，领悟故事所要阐明的道理。同时，感悟故事按事情发展的先后顺序叙述的特点。《语文课程标准》指出：要珍视学生独特的感受、体验和理解。本课设计引导学生在弄懂课文内容的基础上，鼓励学生发表自己的见解，对寓言的感悟及多元理解。</w:t>
      </w:r>
    </w:p>
    <w:p w14:paraId="6B155F70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一、故事导入，提示课题</w:t>
      </w:r>
    </w:p>
    <w:p w14:paraId="2DFB4932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1．看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图片猜学过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的寓言故事。</w:t>
      </w:r>
    </w:p>
    <w:p w14:paraId="1C33C03C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导言：今天，老师给同学们带来了一份礼物，请同学们看图片猜故事。(学生看图片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猜故事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)同学们猜对了，这几个故事都是我们学过的寓言故事。寓言故事的共同特点就是篇幅短小，寓意深刻，小故事中蕴含着大道理。今天，我们再来学习两则寓言故事。(板书课题：故事二则)</w:t>
      </w:r>
    </w:p>
    <w:p w14:paraId="086272B3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2．看课件明确学习目标。</w:t>
      </w:r>
    </w:p>
    <w:p w14:paraId="43D6F9A5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设计意图：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以猜图片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的形式，从学生已有知识入手，进行新旧知识的迁移和过渡，让人顿生亲切、好奇之感。学生能在轻松、愉快的氛围中了解寓言故事的特点，可谓“润物细无声”。同时，了解本节略读课的阅读目标，使阅读更有重点、有目的。</w:t>
      </w:r>
    </w:p>
    <w:p w14:paraId="293406C2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BF415D2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二、学习故事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，感悟“讳疾忌医”</w:t>
      </w:r>
    </w:p>
    <w:p w14:paraId="6DF5EEDB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1．板书课题：扁鹊治病。</w:t>
      </w:r>
    </w:p>
    <w:p w14:paraId="0ED93209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2．学生自由朗读故事，自学生字，注意读准“肤”和“髓”的字音，读通句子。</w:t>
      </w:r>
    </w:p>
    <w:p w14:paraId="3D613B17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3．学生默读课文思考：这则寓言讲了一件什么事？</w:t>
      </w:r>
    </w:p>
    <w:p w14:paraId="5624C78E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4．学生认读生词：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自由读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——指名读——齐读。</w:t>
      </w:r>
    </w:p>
    <w:p w14:paraId="5C08897F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5．课件出示自学提示，学生自学。</w:t>
      </w:r>
    </w:p>
    <w:p w14:paraId="4E8FB117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自学提示：默读课文，圈出表示时间的词语，想一想，蔡桓侯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的病共经历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了几个阶段？在每个阶段中，蔡桓侯的病情怎样？应如何医治？蔡桓侯对扁鹊持什么态度？勾画出相关词语。</w:t>
      </w:r>
    </w:p>
    <w:p w14:paraId="7989A508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6．学生汇报，教师出示表格，相机点拨。 </w:t>
      </w:r>
    </w:p>
    <w:p w14:paraId="308D1067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学生找出带有时间的句子后，引导学生体会蔡桓侯的病由轻到重的发展过程。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1140"/>
        <w:gridCol w:w="1395"/>
        <w:gridCol w:w="1785"/>
        <w:gridCol w:w="1860"/>
      </w:tblGrid>
      <w:tr w:rsidR="00573A24" w:rsidRPr="00573A24" w14:paraId="372CE66F" w14:textId="77777777" w:rsidTr="00573A24">
        <w:tc>
          <w:tcPr>
            <w:tcW w:w="1350" w:type="dxa"/>
            <w:hideMark/>
          </w:tcPr>
          <w:p w14:paraId="2EBB19DC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573A24">
              <w:rPr>
                <w:rFonts w:ascii="宋体" w:eastAsia="宋体" w:hAnsi="宋体" w:hint="eastAsia"/>
                <w:sz w:val="24"/>
                <w:szCs w:val="24"/>
              </w:rPr>
              <w:t>诊次</w:t>
            </w:r>
          </w:p>
        </w:tc>
        <w:tc>
          <w:tcPr>
            <w:tcW w:w="1140" w:type="dxa"/>
            <w:hideMark/>
          </w:tcPr>
          <w:p w14:paraId="5ADBC99D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573A24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260" w:type="dxa"/>
            <w:hideMark/>
          </w:tcPr>
          <w:p w14:paraId="3CD26AD2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573A24">
              <w:rPr>
                <w:rFonts w:ascii="宋体" w:eastAsia="宋体" w:hAnsi="宋体" w:hint="eastAsia"/>
                <w:sz w:val="24"/>
                <w:szCs w:val="24"/>
              </w:rPr>
              <w:t>病状</w:t>
            </w:r>
          </w:p>
        </w:tc>
        <w:tc>
          <w:tcPr>
            <w:tcW w:w="1470" w:type="dxa"/>
            <w:hideMark/>
          </w:tcPr>
          <w:p w14:paraId="6F58CB82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573A24">
              <w:rPr>
                <w:rFonts w:ascii="宋体" w:eastAsia="宋体" w:hAnsi="宋体" w:hint="eastAsia"/>
                <w:sz w:val="24"/>
                <w:szCs w:val="24"/>
              </w:rPr>
              <w:t>治疗建议</w:t>
            </w:r>
          </w:p>
        </w:tc>
        <w:tc>
          <w:tcPr>
            <w:tcW w:w="1860" w:type="dxa"/>
            <w:hideMark/>
          </w:tcPr>
          <w:p w14:paraId="3C843688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573A24">
              <w:rPr>
                <w:rFonts w:ascii="宋体" w:eastAsia="宋体" w:hAnsi="宋体" w:hint="eastAsia"/>
                <w:sz w:val="24"/>
                <w:szCs w:val="24"/>
              </w:rPr>
              <w:t>患者表现</w:t>
            </w:r>
          </w:p>
        </w:tc>
      </w:tr>
      <w:tr w:rsidR="00573A24" w:rsidRPr="00573A24" w14:paraId="2FB68ABC" w14:textId="77777777" w:rsidTr="00573A24">
        <w:tc>
          <w:tcPr>
            <w:tcW w:w="1665" w:type="dxa"/>
            <w:hideMark/>
          </w:tcPr>
          <w:p w14:paraId="509100CC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573A24">
              <w:rPr>
                <w:rFonts w:ascii="宋体" w:eastAsia="宋体" w:hAnsi="宋体" w:hint="eastAsia"/>
                <w:sz w:val="24"/>
                <w:szCs w:val="24"/>
              </w:rPr>
              <w:t>第一次</w:t>
            </w:r>
          </w:p>
        </w:tc>
        <w:tc>
          <w:tcPr>
            <w:tcW w:w="960" w:type="dxa"/>
            <w:hideMark/>
          </w:tcPr>
          <w:p w14:paraId="65D86F18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14:paraId="3B2AD585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  <w:hideMark/>
          </w:tcPr>
          <w:p w14:paraId="754E1512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14:paraId="4F8B57DD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A24" w:rsidRPr="00573A24" w14:paraId="42BD5512" w14:textId="77777777" w:rsidTr="00573A24">
        <w:tc>
          <w:tcPr>
            <w:tcW w:w="1665" w:type="dxa"/>
            <w:hideMark/>
          </w:tcPr>
          <w:p w14:paraId="08F512C9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73A24">
              <w:rPr>
                <w:rFonts w:ascii="宋体" w:eastAsia="宋体" w:hAnsi="宋体" w:hint="eastAsia"/>
                <w:sz w:val="24"/>
                <w:szCs w:val="24"/>
              </w:rPr>
              <w:t>第二次</w:t>
            </w:r>
          </w:p>
        </w:tc>
        <w:tc>
          <w:tcPr>
            <w:tcW w:w="960" w:type="dxa"/>
            <w:hideMark/>
          </w:tcPr>
          <w:p w14:paraId="3CDE5D3F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14:paraId="39AC0484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  <w:hideMark/>
          </w:tcPr>
          <w:p w14:paraId="17361280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14:paraId="1070641D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A24" w:rsidRPr="00573A24" w14:paraId="255F51EF" w14:textId="77777777" w:rsidTr="00573A24">
        <w:tc>
          <w:tcPr>
            <w:tcW w:w="1665" w:type="dxa"/>
            <w:hideMark/>
          </w:tcPr>
          <w:p w14:paraId="747577A4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73A24">
              <w:rPr>
                <w:rFonts w:ascii="宋体" w:eastAsia="宋体" w:hAnsi="宋体" w:hint="eastAsia"/>
                <w:sz w:val="24"/>
                <w:szCs w:val="24"/>
              </w:rPr>
              <w:t>第三次</w:t>
            </w:r>
          </w:p>
        </w:tc>
        <w:tc>
          <w:tcPr>
            <w:tcW w:w="960" w:type="dxa"/>
            <w:hideMark/>
          </w:tcPr>
          <w:p w14:paraId="597BC231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14:paraId="7BD5B620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  <w:hideMark/>
          </w:tcPr>
          <w:p w14:paraId="50B8F225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14:paraId="622E4D7B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A24" w:rsidRPr="00573A24" w14:paraId="54BBB028" w14:textId="77777777" w:rsidTr="00573A24">
        <w:tc>
          <w:tcPr>
            <w:tcW w:w="1665" w:type="dxa"/>
            <w:hideMark/>
          </w:tcPr>
          <w:p w14:paraId="54D70707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73A24">
              <w:rPr>
                <w:rFonts w:ascii="宋体" w:eastAsia="宋体" w:hAnsi="宋体" w:hint="eastAsia"/>
                <w:sz w:val="24"/>
                <w:szCs w:val="24"/>
              </w:rPr>
              <w:t>第四次</w:t>
            </w:r>
          </w:p>
        </w:tc>
        <w:tc>
          <w:tcPr>
            <w:tcW w:w="960" w:type="dxa"/>
            <w:hideMark/>
          </w:tcPr>
          <w:p w14:paraId="58358324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14:paraId="17F4CFA0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5" w:type="dxa"/>
            <w:hideMark/>
          </w:tcPr>
          <w:p w14:paraId="25CDF4E9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14:paraId="69394291" w14:textId="77777777" w:rsidR="00573A24" w:rsidRPr="00573A24" w:rsidRDefault="00573A24" w:rsidP="00573A2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F61D58F" w14:textId="77777777" w:rsidR="00573A24" w:rsidRPr="00573A24" w:rsidRDefault="00573A24" w:rsidP="00573A2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(在扁鹊看来，蔡桓侯最初只是病在皮肤，热敷就能够治好皮肤上的这点小病，蔡桓侯认为扁鹊医治没有病的人，是为了显示自己的高明。接下来病发展到皮肉之间，用扎针的方法可以治好，蔡桓侯没有理睬扁鹊。然后病又发展到肠胃里，服汤药能治好，蔡桓侯非常不高兴。最后病深入到骨髓，无法医治，蔡桓侯派人请扁鹊给他治病，扁鹊早就跑到秦国去了。)重点词语板书。</w:t>
      </w:r>
    </w:p>
    <w:p w14:paraId="274A9F6D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7．总结道理。</w:t>
      </w:r>
    </w:p>
    <w:p w14:paraId="74D2CF38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lastRenderedPageBreak/>
        <w:t>师：蔡桓侯本来患的只是皮肤上的小病，却在一个多月的时间里就病死了。回顾课文内容，从中你明白了什么？(要听取别人正确的意见，不能讳疾忌医。)</w:t>
      </w:r>
    </w:p>
    <w:p w14:paraId="56648124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假设蔡桓侯听取了扁鹊的意见，及时医治，这种做法叫什么？(防微杜渐)</w:t>
      </w:r>
    </w:p>
    <w:p w14:paraId="68BB2E33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8．拓展升华。</w:t>
      </w:r>
    </w:p>
    <w:p w14:paraId="6FE8387C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“讳疾忌医”中的“疾”并不单指我们身上的疾病，还指什么呢？(包括我们身上的缺点，或在学习中存在的问题)</w:t>
      </w:r>
    </w:p>
    <w:p w14:paraId="3ACBE4B5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9．教师小结：一点点的小毛病如果不及时改正，就会越来越严重，发展到不可挽回的地步。希望同学们能正视自己，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用心听取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别人的意见，使自己的身心健康发展。</w:t>
      </w:r>
    </w:p>
    <w:p w14:paraId="3B11D0BE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设计意图：给学生充足的阅读时间，整体感知课文内容，在把握主要内容与理清思路的基础上，概括出人物的性格特点与品质。在理解课文内容的基础上，挖掘寓意。</w:t>
      </w:r>
    </w:p>
    <w:p w14:paraId="3581CC76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三、学习故事二，体会“打好基础”</w:t>
      </w:r>
    </w:p>
    <w:p w14:paraId="4F8D90A0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1．出示课题，生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齐读课题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。</w:t>
      </w:r>
    </w:p>
    <w:p w14:paraId="04F22817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2．学生默读课文。教师提出要求：读准多音字“纪”；每读完一个自然段停下来想一想：这个自然段主要讲了什么？</w:t>
      </w:r>
    </w:p>
    <w:p w14:paraId="58F8A54A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3．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飞卫怎么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说的？纪昌是怎么练的呢？学习第2、3自然段，从文中找一找，用“____”画出来，在旁边写一写你的感受。</w:t>
      </w:r>
    </w:p>
    <w:p w14:paraId="55E9E4CB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4．课件出示重点句，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学生谈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感受，教师相机指导。</w:t>
      </w:r>
    </w:p>
    <w:p w14:paraId="08FB2295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(1)重点句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：“妻子织布的时候，他躺在织布机下面，睁大眼睛，死死盯住织布机的踏板。两年以后，纪昌的本领练得相当到家了——就是锋利的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锥尖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要刺到眼角了，他的眼睛也不眨一下。”</w:t>
      </w:r>
    </w:p>
    <w:p w14:paraId="256A51A6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①预设：引导学生抓住“睁大眼睛”“死死盯住”“两年以后”体会纪昌练习眼力的决心、毅力和恒心。从“眼睛也不眨一下”体会纪昌已经达到了看准目标不眨眼的水平。</w:t>
      </w:r>
    </w:p>
    <w:p w14:paraId="7ACB0486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 xml:space="preserve">②补白训练：纪昌以常人难以想象的毅力苦练了两年。夏天，烈日炎炎，蚊虫叮咬，在妻子织布的时候，他________________________；冬天，北风呼呼，寒气逼人，在妻子织布的时候，他__________________。(逐步板书：求教射箭　练习眼力　睁大眼睛注视　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锥尖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要刺到眼角眼不眨)</w:t>
      </w:r>
    </w:p>
    <w:p w14:paraId="597983DC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③指名读课文。教师指导重点词语的朗读。</w:t>
      </w:r>
    </w:p>
    <w:p w14:paraId="25C48071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(2)重点句二：“纪昌记住了飞卫的话，回到家里，又开始练习起来。他用一根牛尾毛拴住一只虱子，把它吊在窗口，然后每天站在虱子旁边，聚精会神地盯着它。”</w:t>
      </w:r>
    </w:p>
    <w:p w14:paraId="7E8029A4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①预设：引导学生抓住“聚精会神”“盯”体会纪昌的认真和虚心。(板书：小虱子　大车轮)</w:t>
      </w:r>
    </w:p>
    <w:p w14:paraId="15CA7A6F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②在你心中，这是一个怎样的纪昌？(有决心，有毅力，有恒心，专注，认真。)(板书：有恒心　有毅力)</w:t>
      </w:r>
    </w:p>
    <w:p w14:paraId="13C79F90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③自由朗读课文。教师指导朗读，读出敬佩，读出寓言的夸张。</w:t>
      </w:r>
    </w:p>
    <w:p w14:paraId="6C41035E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5．揭示寓意，多元理解。</w:t>
      </w:r>
    </w:p>
    <w:p w14:paraId="152B25DC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(1)过渡：功夫不负有心人。几年之后，纪昌的眼力练得相当到家了，简直到了炉火纯青的程度了。这时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飞卫才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开始教他开弓放箭。后来，纪昌成了百发百中的射箭能手。课文学到这儿，同学们心中一定有个谜，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飞卫为什么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让纪昌先练眼力呢？(无论学什么本领都要练就扎实的基本功。)</w:t>
      </w:r>
    </w:p>
    <w:p w14:paraId="33583460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鼓励学生大胆提出自己的见解，引导学生结合课文内容和生活实际谈感</w:t>
      </w:r>
      <w:r w:rsidRPr="00573A24">
        <w:rPr>
          <w:rFonts w:ascii="宋体" w:eastAsia="宋体" w:hAnsi="宋体" w:hint="eastAsia"/>
          <w:sz w:val="24"/>
          <w:szCs w:val="24"/>
        </w:rPr>
        <w:lastRenderedPageBreak/>
        <w:t>受。             </w:t>
      </w:r>
    </w:p>
    <w:p w14:paraId="59DE1D57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(2)学了这篇课文，你得到了哪些启示呢？(无论学什么技艺，都要从学习这门技艺的基本功入手。当然，从另一个角度看，还可以体会到学习者的恒心和毅力、名师的指点对学习结果的重要作用。)</w:t>
      </w:r>
    </w:p>
    <w:p w14:paraId="391883F9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设计意图：熟知课文内容，抓住重点词句感受人物品质，多角度、深层次地理解寓意，在拓展与延伸中升华文章主题。</w:t>
      </w:r>
    </w:p>
    <w:p w14:paraId="7C8BBA79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四、推荐阅读，激发兴趣</w:t>
      </w:r>
    </w:p>
    <w:p w14:paraId="177DBE0D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1．介绍出处，总结学法。</w:t>
      </w:r>
    </w:p>
    <w:p w14:paraId="4DF0C992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师：《扁鹊治病》是根据《韩非子·喻老》改写的，《纪昌学射》是根据《</w:t>
      </w:r>
      <w:proofErr w:type="gramStart"/>
      <w:r w:rsidRPr="00573A24">
        <w:rPr>
          <w:rFonts w:ascii="宋体" w:eastAsia="宋体" w:hAnsi="宋体" w:hint="eastAsia"/>
          <w:sz w:val="24"/>
          <w:szCs w:val="24"/>
        </w:rPr>
        <w:t>列子</w:t>
      </w:r>
      <w:proofErr w:type="gramEnd"/>
      <w:r w:rsidRPr="00573A24">
        <w:rPr>
          <w:rFonts w:ascii="宋体" w:eastAsia="宋体" w:hAnsi="宋体" w:hint="eastAsia"/>
          <w:sz w:val="24"/>
          <w:szCs w:val="24"/>
        </w:rPr>
        <w:t>·汤问》改写的。两则寓言故事都有个性鲜明的人物形象，我们只有读好人物的对话，揣摩人物的想法，才有可能准确地理解寓言的寓意。</w:t>
      </w:r>
    </w:p>
    <w:p w14:paraId="2971BF81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2．推荐几则中外寓言故事。</w:t>
      </w:r>
    </w:p>
    <w:p w14:paraId="0BCC8D0F" w14:textId="77777777" w:rsidR="00573A24" w:rsidRPr="00573A24" w:rsidRDefault="00573A24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73A24">
        <w:rPr>
          <w:rFonts w:ascii="宋体" w:eastAsia="宋体" w:hAnsi="宋体" w:hint="eastAsia"/>
          <w:sz w:val="24"/>
          <w:szCs w:val="24"/>
        </w:rPr>
        <w:t>设计意图：通过两则故事学法的总结，帮助学生理清寓言的学习方法。同时，推荐中外寓言故事，激发学生的兴趣。</w:t>
      </w:r>
    </w:p>
    <w:p w14:paraId="40F6B07A" w14:textId="77777777" w:rsidR="00283985" w:rsidRPr="00573A24" w:rsidRDefault="00283985" w:rsidP="00573A2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283985" w:rsidRPr="0057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76"/>
    <w:rsid w:val="00283985"/>
    <w:rsid w:val="00573A24"/>
    <w:rsid w:val="006404DE"/>
    <w:rsid w:val="0066229E"/>
    <w:rsid w:val="006E5EE6"/>
    <w:rsid w:val="007857D9"/>
    <w:rsid w:val="00D256A1"/>
    <w:rsid w:val="00D52493"/>
    <w:rsid w:val="00D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BA68"/>
  <w15:chartTrackingRefBased/>
  <w15:docId w15:val="{EDC877BE-9E95-4E5A-9C8A-D41C26C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丽君 谭</dc:creator>
  <cp:keywords/>
  <dc:description/>
  <cp:lastModifiedBy>丽君 谭</cp:lastModifiedBy>
  <cp:revision>2</cp:revision>
  <dcterms:created xsi:type="dcterms:W3CDTF">2024-12-29T07:12:00Z</dcterms:created>
  <dcterms:modified xsi:type="dcterms:W3CDTF">2024-12-29T07:13:00Z</dcterms:modified>
</cp:coreProperties>
</file>