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E56E4">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32"/>
          <w:szCs w:val="32"/>
        </w:rPr>
        <w:t>礼河实验学校教师读书笔记</w:t>
      </w:r>
    </w:p>
    <w:tbl>
      <w:tblPr>
        <w:tblStyle w:val="2"/>
        <w:tblW w:w="8502" w:type="dxa"/>
        <w:jc w:val="center"/>
        <w:tblLayout w:type="autofit"/>
        <w:tblCellMar>
          <w:top w:w="0" w:type="dxa"/>
          <w:left w:w="0" w:type="dxa"/>
          <w:bottom w:w="0" w:type="dxa"/>
          <w:right w:w="0" w:type="dxa"/>
        </w:tblCellMar>
      </w:tblPr>
      <w:tblGrid>
        <w:gridCol w:w="1896"/>
        <w:gridCol w:w="2276"/>
        <w:gridCol w:w="2280"/>
        <w:gridCol w:w="2050"/>
      </w:tblGrid>
      <w:tr w14:paraId="10808062">
        <w:tblPrEx>
          <w:tblCellMar>
            <w:top w:w="0" w:type="dxa"/>
            <w:left w:w="0" w:type="dxa"/>
            <w:bottom w:w="0" w:type="dxa"/>
            <w:right w:w="0" w:type="dxa"/>
          </w:tblCellMar>
        </w:tblPrEx>
        <w:trPr>
          <w:trHeight w:val="495" w:hRule="atLeast"/>
          <w:jc w:val="center"/>
        </w:trPr>
        <w:tc>
          <w:tcPr>
            <w:tcW w:w="189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FCA955">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书籍或文章名称</w:t>
            </w:r>
          </w:p>
        </w:tc>
        <w:tc>
          <w:tcPr>
            <w:tcW w:w="6606"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top"/>
          </w:tcPr>
          <w:p w14:paraId="36BC085D">
            <w:pPr>
              <w:widowControl/>
              <w:spacing w:before="100" w:beforeAutospacing="1" w:after="100" w:afterAutospacing="1" w:line="500" w:lineRule="atLeas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教育的情调</w:t>
            </w:r>
          </w:p>
        </w:tc>
      </w:tr>
      <w:tr w14:paraId="34396C7C">
        <w:tblPrEx>
          <w:tblCellMar>
            <w:top w:w="0" w:type="dxa"/>
            <w:left w:w="0" w:type="dxa"/>
            <w:bottom w:w="0" w:type="dxa"/>
            <w:right w:w="0" w:type="dxa"/>
          </w:tblCellMar>
        </w:tblPrEx>
        <w:trPr>
          <w:trHeight w:val="495" w:hRule="atLeast"/>
          <w:jc w:val="center"/>
        </w:trPr>
        <w:tc>
          <w:tcPr>
            <w:tcW w:w="18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DBE526">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作      者</w:t>
            </w:r>
          </w:p>
        </w:tc>
        <w:tc>
          <w:tcPr>
            <w:tcW w:w="227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2DBEB9A">
            <w:pPr>
              <w:widowControl/>
              <w:spacing w:before="100" w:beforeAutospacing="1" w:after="100" w:afterAutospacing="1" w:line="500" w:lineRule="atLeas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马克思·范梅南</w:t>
            </w:r>
          </w:p>
        </w:tc>
        <w:tc>
          <w:tcPr>
            <w:tcW w:w="228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2E67A71">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阅 读 时 间</w:t>
            </w:r>
          </w:p>
        </w:tc>
        <w:tc>
          <w:tcPr>
            <w:tcW w:w="20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B67D5CC">
            <w:pPr>
              <w:widowControl/>
              <w:spacing w:before="100" w:beforeAutospacing="1" w:after="100" w:afterAutospacing="1" w:line="500" w:lineRule="atLeast"/>
              <w:rPr>
                <w:rFonts w:hint="default" w:ascii="宋体" w:hAnsi="宋体" w:eastAsia="宋体" w:cs="宋体"/>
                <w:color w:val="000000"/>
                <w:kern w:val="0"/>
                <w:sz w:val="24"/>
                <w:lang w:val="en-US" w:eastAsia="zh-CN"/>
              </w:rPr>
            </w:pPr>
            <w:r>
              <w:rPr>
                <w:rFonts w:hint="eastAsia" w:ascii="宋体" w:hAnsi="宋体" w:cs="宋体"/>
                <w:color w:val="000000"/>
                <w:kern w:val="0"/>
                <w:sz w:val="24"/>
              </w:rPr>
              <w:t>20</w:t>
            </w:r>
            <w:r>
              <w:rPr>
                <w:rFonts w:hint="eastAsia" w:ascii="宋体" w:hAnsi="宋体" w:cs="宋体"/>
                <w:color w:val="000000"/>
                <w:kern w:val="0"/>
                <w:sz w:val="24"/>
                <w:lang w:val="en-US" w:eastAsia="zh-CN"/>
              </w:rPr>
              <w:t>24</w:t>
            </w:r>
            <w:r>
              <w:rPr>
                <w:rFonts w:hint="eastAsia" w:ascii="宋体" w:hAnsi="宋体" w:cs="宋体"/>
                <w:color w:val="000000"/>
                <w:kern w:val="0"/>
                <w:sz w:val="24"/>
              </w:rPr>
              <w:t>.</w:t>
            </w:r>
            <w:r>
              <w:rPr>
                <w:rFonts w:hint="eastAsia" w:ascii="宋体" w:hAnsi="宋体" w:cs="宋体"/>
                <w:color w:val="000000"/>
                <w:kern w:val="0"/>
                <w:sz w:val="24"/>
                <w:lang w:val="en-US" w:eastAsia="zh-CN"/>
              </w:rPr>
              <w:t>12</w:t>
            </w:r>
          </w:p>
        </w:tc>
      </w:tr>
      <w:tr w14:paraId="743915FE">
        <w:tblPrEx>
          <w:tblCellMar>
            <w:top w:w="0" w:type="dxa"/>
            <w:left w:w="0" w:type="dxa"/>
            <w:bottom w:w="0" w:type="dxa"/>
            <w:right w:w="0" w:type="dxa"/>
          </w:tblCellMar>
        </w:tblPrEx>
        <w:trPr>
          <w:trHeight w:val="495" w:hRule="atLeast"/>
          <w:jc w:val="center"/>
        </w:trPr>
        <w:tc>
          <w:tcPr>
            <w:tcW w:w="18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EF5BF2">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教 师 姓 名</w:t>
            </w:r>
          </w:p>
        </w:tc>
        <w:tc>
          <w:tcPr>
            <w:tcW w:w="227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CEA0DD9">
            <w:pPr>
              <w:widowControl/>
              <w:spacing w:before="100" w:beforeAutospacing="1" w:after="100" w:afterAutospacing="1" w:line="500" w:lineRule="atLeast"/>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李慧东</w:t>
            </w:r>
          </w:p>
        </w:tc>
        <w:tc>
          <w:tcPr>
            <w:tcW w:w="228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7DB1D90">
            <w:pPr>
              <w:widowControl/>
              <w:spacing w:before="100" w:beforeAutospacing="1" w:after="100" w:afterAutospacing="1" w:line="500" w:lineRule="atLeast"/>
              <w:jc w:val="center"/>
              <w:rPr>
                <w:rFonts w:ascii="宋体" w:hAnsi="宋体" w:cs="宋体"/>
                <w:color w:val="000000"/>
                <w:kern w:val="0"/>
                <w:sz w:val="18"/>
                <w:szCs w:val="18"/>
              </w:rPr>
            </w:pPr>
            <w:r>
              <w:rPr>
                <w:rFonts w:hint="eastAsia" w:ascii="宋体" w:hAnsi="宋体" w:cs="宋体"/>
                <w:color w:val="000000"/>
                <w:kern w:val="0"/>
                <w:sz w:val="24"/>
              </w:rPr>
              <w:t>年 段、学 科</w:t>
            </w:r>
          </w:p>
        </w:tc>
        <w:tc>
          <w:tcPr>
            <w:tcW w:w="20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1CB3D9E">
            <w:pPr>
              <w:widowControl/>
              <w:spacing w:before="100" w:beforeAutospacing="1" w:after="100" w:afterAutospacing="1" w:line="500" w:lineRule="atLeas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七</w:t>
            </w:r>
            <w:r>
              <w:rPr>
                <w:rFonts w:hint="eastAsia" w:ascii="宋体" w:hAnsi="宋体" w:cs="宋体"/>
                <w:color w:val="000000"/>
                <w:kern w:val="0"/>
                <w:sz w:val="24"/>
              </w:rPr>
              <w:t>年级</w:t>
            </w:r>
            <w:r>
              <w:rPr>
                <w:rFonts w:hint="eastAsia" w:ascii="宋体" w:hAnsi="宋体" w:cs="宋体"/>
                <w:color w:val="000000"/>
                <w:kern w:val="0"/>
                <w:sz w:val="24"/>
                <w:lang w:val="en-US" w:eastAsia="zh-CN"/>
              </w:rPr>
              <w:t>语文</w:t>
            </w:r>
          </w:p>
        </w:tc>
      </w:tr>
      <w:tr w14:paraId="221D943B">
        <w:tblPrEx>
          <w:tblCellMar>
            <w:top w:w="0" w:type="dxa"/>
            <w:left w:w="0" w:type="dxa"/>
            <w:bottom w:w="0" w:type="dxa"/>
            <w:right w:w="0" w:type="dxa"/>
          </w:tblCellMar>
        </w:tblPrEx>
        <w:trPr>
          <w:trHeight w:val="495" w:hRule="atLeast"/>
          <w:jc w:val="center"/>
        </w:trPr>
        <w:tc>
          <w:tcPr>
            <w:tcW w:w="8502" w:type="dxa"/>
            <w:gridSpan w:val="4"/>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BC7A50">
            <w:pPr>
              <w:rPr>
                <w:rFonts w:hint="eastAsia"/>
                <w:sz w:val="28"/>
                <w:szCs w:val="28"/>
              </w:rPr>
            </w:pPr>
            <w:r>
              <w:rPr>
                <w:rFonts w:hint="eastAsia" w:ascii="宋体" w:hAnsi="宋体" w:cs="宋体"/>
                <w:color w:val="000000"/>
                <w:kern w:val="0"/>
                <w:sz w:val="24"/>
              </w:rPr>
              <w:t>精彩摘录：</w:t>
            </w:r>
            <w:r>
              <w:rPr>
                <w:sz w:val="28"/>
                <w:szCs w:val="28"/>
              </w:rPr>
              <w:t xml:space="preserve"> </w:t>
            </w:r>
          </w:p>
          <w:p w14:paraId="25EB29F5">
            <w:pPr>
              <w:spacing w:line="360" w:lineRule="auto"/>
              <w:ind w:firstLine="480" w:firstLineChars="200"/>
              <w:rPr>
                <w:rFonts w:hint="eastAsia"/>
                <w:sz w:val="24"/>
              </w:rPr>
            </w:pPr>
            <w:r>
              <w:rPr>
                <w:rFonts w:hint="eastAsia"/>
                <w:sz w:val="24"/>
              </w:rPr>
              <w:t>人们谈到教育细致描述才能触及似乎都只关注课堂上发生的实实在在的事情：教师是否完成了教学计划，学生学到了多少知识点、会做几道练习题，等等。这些显性的东西往往成为衡量一节好课、一位好老师的标准。但是，孩子在课堂上究竟有什么样的体验？老师所讲的是否对其产生了影响？诸如此类的问题却很少有人去关注和研究。教育现象学认为，比起老师在课堂上完成的任务，孩子的生活世界和生活体验更为重要，孩子在课堂上真正体验到的东西、真正受到的影响也许更富有教育意义。涉及课堂体验的教学活动无法通过观察和测量获得，需要聆听教师和学生的细致描述才能触及。</w:t>
            </w:r>
          </w:p>
        </w:tc>
      </w:tr>
      <w:tr w14:paraId="43399A74">
        <w:tblPrEx>
          <w:tblCellMar>
            <w:top w:w="0" w:type="dxa"/>
            <w:left w:w="0" w:type="dxa"/>
            <w:bottom w:w="0" w:type="dxa"/>
            <w:right w:w="0" w:type="dxa"/>
          </w:tblCellMar>
        </w:tblPrEx>
        <w:trPr>
          <w:trHeight w:val="495" w:hRule="atLeast"/>
          <w:jc w:val="center"/>
        </w:trPr>
        <w:tc>
          <w:tcPr>
            <w:tcW w:w="8502" w:type="dxa"/>
            <w:gridSpan w:val="4"/>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4D177D8E">
            <w:pPr>
              <w:rPr>
                <w:rFonts w:hint="eastAsia" w:ascii="宋体" w:hAnsi="宋体"/>
                <w:sz w:val="24"/>
              </w:rPr>
            </w:pPr>
            <w:r>
              <w:rPr>
                <w:rFonts w:hint="eastAsia" w:ascii="宋体" w:hAnsi="宋体" w:cs="宋体"/>
                <w:color w:val="000000"/>
                <w:kern w:val="0"/>
                <w:sz w:val="24"/>
              </w:rPr>
              <w:t>读书感悟：</w:t>
            </w:r>
            <w:r>
              <w:rPr>
                <w:rFonts w:hint="eastAsia" w:ascii="宋体" w:hAnsi="宋体"/>
                <w:sz w:val="24"/>
              </w:rPr>
              <w:t xml:space="preserve"> </w:t>
            </w:r>
          </w:p>
          <w:p w14:paraId="659ACAC7">
            <w:pPr>
              <w:spacing w:line="360" w:lineRule="auto"/>
              <w:ind w:firstLine="480" w:firstLineChars="200"/>
              <w:rPr>
                <w:rFonts w:hint="eastAsia"/>
                <w:sz w:val="24"/>
              </w:rPr>
            </w:pPr>
            <w:r>
              <w:rPr>
                <w:rFonts w:hint="eastAsia"/>
                <w:sz w:val="24"/>
              </w:rPr>
              <w:t>是啊，在应试教育的背景下，教师、家长往往只注重孩子的成绩，而忽视了学生的全面发展，能够让学生真正学到知识，懂得做人的道理才是更为关键的。但是，取消中考和高考，教学质量不一定会有所上升，杜威所提倡的实用主义教学，探究式学习也只能因课而异，只有将传统教育与实用主义教育相结合，才可能达到教书育人的目的。</w:t>
            </w:r>
          </w:p>
          <w:p w14:paraId="23AD37C1">
            <w:pPr>
              <w:spacing w:line="360" w:lineRule="auto"/>
              <w:ind w:firstLine="480" w:firstLineChars="200"/>
              <w:rPr>
                <w:rFonts w:hint="eastAsia" w:eastAsia="宋体"/>
                <w:sz w:val="24"/>
                <w:lang w:eastAsia="zh-CN"/>
              </w:rPr>
            </w:pPr>
            <w:r>
              <w:rPr>
                <w:rFonts w:hint="eastAsia"/>
                <w:sz w:val="24"/>
              </w:rPr>
              <w:t>教育机智，就是教育的敏感性，针对不同的教学情境，能够换位思考，设身处地地站着学生的角度思考，体会学生此时的心理状态</w:t>
            </w:r>
            <w:r>
              <w:rPr>
                <w:rFonts w:hint="eastAsia"/>
                <w:sz w:val="24"/>
                <w:lang w:eastAsia="zh-CN"/>
              </w:rPr>
              <w:t>。“他们的降临给我们带来了一件礼物：体验可能性。孩子之所以是孩子，就是因为他们在成长，在体验着生命，同时也在体验着生活的各种可能性。父母和老师扮演着教育者的角色，有意识地向孩子们展示生活中各种可能的存在方式。如果他们能意识到成年本身也是一个永未完成的成长过程的话，他们就会这样做。生活永远在质疑我们此时此刻的生活情形：这就是我的生活吗？我应该这样来度过光阴吗？没有人能比一个孩子更强烈地、更经常地提醒我们思考这些问题了。”</w:t>
            </w:r>
            <w:bookmarkStart w:id="0" w:name="_GoBack"/>
            <w:bookmarkEnd w:id="0"/>
          </w:p>
        </w:tc>
      </w:tr>
    </w:tbl>
    <w:p w14:paraId="7AD599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64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2024-12-27T08:19:13Z</dcterms:created>
  <dc:creator>Administrator</dc:creator>
  <cp:lastModifiedBy>正则1990</cp:lastModifiedBy>
  <dcterms:modified xsi:type="dcterms:W3CDTF">2024-12-27T08:21:36Z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eyJoZGlkIjoiMGU4YmU5MjQyZWNlMGZmYTJmNTcxNWU0NmU0NDFmYTgiLCJ1c2VySWQiOiI1NjcxNTIyMzEifQ==</vt:lpwstr>
  </property>
  <property fmtid="{D5CDD505-2E9C-101B-9397-08002B2CF9AE}" pid="4" name="ICV">
    <vt:lpwstr>3B0A72B55779476CB26235E912BBF085_12</vt:lpwstr>
  </property>
</Properties>
</file>