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068A7">
      <w:pPr>
        <w:spacing w:line="360" w:lineRule="auto"/>
        <w:jc w:val="center"/>
        <w:rPr>
          <w:rFonts w:ascii="宋体" w:hAnsi="宋体" w:cs="宋体"/>
          <w:sz w:val="24"/>
          <w:szCs w:val="24"/>
        </w:rPr>
      </w:pPr>
      <w:r>
        <w:rPr>
          <w:rFonts w:hint="eastAsia" w:ascii="黑体" w:hAnsi="黑体" w:eastAsia="黑体" w:cs="黑体"/>
          <w:sz w:val="32"/>
          <w:szCs w:val="32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-202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sz w:val="32"/>
          <w:szCs w:val="32"/>
        </w:rPr>
        <w:t>学年度第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sz w:val="32"/>
          <w:szCs w:val="32"/>
        </w:rPr>
        <w:t>学期润润2班安全工作计划</w:t>
      </w:r>
    </w:p>
    <w:p w14:paraId="5B5B9433"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 xml:space="preserve">常州市新北区新港幼儿园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张丽华</w:t>
      </w:r>
    </w:p>
    <w:p w14:paraId="00A5E94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</w:rPr>
        <w:t>幼儿园的一日生活常规是不可忽视的，我会充分利用每一个生活环节，结合幼儿的实际活动进行及时教育，帮助幼儿建立良好安全意识。现根据幼儿的年龄特点，制定安全计划如下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</w:p>
    <w:p w14:paraId="42A7BC93">
      <w:pPr>
        <w:pStyle w:val="15"/>
        <w:numPr>
          <w:ilvl w:val="0"/>
          <w:numId w:val="1"/>
        </w:numPr>
        <w:spacing w:line="360" w:lineRule="auto"/>
        <w:ind w:firstLineChars="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指导思想</w:t>
      </w:r>
    </w:p>
    <w:p w14:paraId="7056CE41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8"/>
        </w:rPr>
      </w:pPr>
      <w:r>
        <w:rPr>
          <w:rFonts w:hint="eastAsia" w:ascii="宋体" w:hAnsi="宋体" w:cs="宋体"/>
          <w:sz w:val="24"/>
          <w:szCs w:val="24"/>
        </w:rPr>
        <w:t>为了使幼儿身心得到更好的发展，我们要把安全问题放在工作的首位，减少幼儿身心受到意外伤害的可能性。对孩子要做到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cs="宋体"/>
          <w:sz w:val="24"/>
          <w:szCs w:val="24"/>
        </w:rPr>
        <w:t>“放手不放眼，放眼不放心。”把安全工作责任到人，尽我们的一切能力保护好幼儿的安全</w:t>
      </w:r>
      <w:r>
        <w:rPr>
          <w:rFonts w:hint="eastAsia" w:asciiTheme="minorEastAsia" w:hAnsiTheme="minorEastAsia" w:eastAsiaTheme="minorEastAsia"/>
          <w:sz w:val="24"/>
          <w:szCs w:val="28"/>
        </w:rPr>
        <w:t>。</w:t>
      </w:r>
    </w:p>
    <w:p w14:paraId="13F131D6">
      <w:pPr>
        <w:pStyle w:val="15"/>
        <w:numPr>
          <w:ilvl w:val="0"/>
          <w:numId w:val="1"/>
        </w:numPr>
        <w:spacing w:line="360" w:lineRule="auto"/>
        <w:ind w:firstLineChars="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工作目标</w:t>
      </w:r>
    </w:p>
    <w:p w14:paraId="65B8B585"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1. 加强班级安全管理，杜绝安全事故的发生。</w:t>
      </w:r>
    </w:p>
    <w:p w14:paraId="035B9B40"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2. 提高幼儿的安全意识和自我保护能力。</w:t>
      </w:r>
    </w:p>
    <w:p w14:paraId="51555751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Theme="minorEastAsia" w:hAnsiTheme="minorEastAsia"/>
          <w:sz w:val="24"/>
        </w:rPr>
        <w:t>3. 建立良好的班级安全秩序，让幼儿在安全、和谐的环境中学习和生活。</w:t>
      </w:r>
    </w:p>
    <w:p w14:paraId="5203957E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三、具体措施</w:t>
      </w:r>
    </w:p>
    <w:p w14:paraId="06BEB01C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（一）班级安全管理</w:t>
      </w:r>
    </w:p>
    <w:p w14:paraId="67E2B8CD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1.每天对班级进行安全检查，及时发现和排除安全隐患。如检查玩具是否有破损、电器设备是否正常等。</w:t>
      </w:r>
    </w:p>
    <w:p w14:paraId="45E9F1B6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2.严格执行班级安全制度，如接送制度、午睡值班制度等。确保幼儿在园期间的安全。</w:t>
      </w:r>
    </w:p>
    <w:p w14:paraId="7087AEC1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3.对班级的危险物品进行妥善管理，如剪刀、针线等，放在幼儿无法触及的地方。</w:t>
      </w:r>
    </w:p>
    <w:p w14:paraId="6CA14848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（二）安全教育</w:t>
      </w:r>
    </w:p>
    <w:p w14:paraId="326F0C63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1.根据幼儿的年龄特点和实际情况，开展丰富多彩的安全教育活动。如交通安全教育、消防安全教育、防溺水安全教育等。</w:t>
      </w:r>
    </w:p>
    <w:p w14:paraId="448BE2B2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2.利用故事、儿歌、游戏等形式，向幼儿传授安全知识和自我保护方法。如不跟陌生人走、不玩火、不玩水等。</w:t>
      </w:r>
    </w:p>
    <w:p w14:paraId="63077793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3.在日常生活中，随时对幼儿进行安全教育，如上下楼梯要靠右走、不推不挤等。</w:t>
      </w:r>
    </w:p>
    <w:p w14:paraId="4CF612F4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（三）安全演练</w:t>
      </w:r>
    </w:p>
    <w:p w14:paraId="414BC362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1.定期组织幼儿进行安全演练，如火灾逃生演练、地震逃生演练等。提高幼儿的应急反应能力和自我保护能力。</w:t>
      </w:r>
    </w:p>
    <w:p w14:paraId="6D42254D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2.在演练前，向幼儿讲解演练的目的、方法和注意事项，让幼儿有心理准备。</w:t>
      </w:r>
    </w:p>
    <w:p w14:paraId="0E5878D9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3.演练后，对演练进行总结和评价，针对存在的问题及时进行改进。</w:t>
      </w:r>
    </w:p>
    <w:p w14:paraId="5A0C202A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（四）家园合作</w:t>
      </w:r>
    </w:p>
    <w:p w14:paraId="6295C3F4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1.建立家园联系栏，及时向家长反馈幼儿在园的安全情况。如发生安全事故，要及时通知家长，并做好善后处理工作。</w:t>
      </w:r>
    </w:p>
    <w:p w14:paraId="1EF91880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2.定期召开家长会，向家长介绍班级的安全工作安排和幼儿的安全情况，听取家长的意见和建议。</w:t>
      </w:r>
    </w:p>
    <w:p w14:paraId="2D30AA65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3.发放安全教育宣传资料，提高家长的安全意识和育儿水平。鼓励家长在家中对幼儿进行安全教育，共同做好幼儿的安全工作。</w:t>
      </w:r>
    </w:p>
    <w:p w14:paraId="4A3E531A">
      <w:pPr>
        <w:pStyle w:val="9"/>
        <w:shd w:val="clear" w:color="auto" w:fill="FFFFFF"/>
        <w:spacing w:before="156" w:beforeLines="50" w:beforeAutospacing="0" w:after="156" w:afterLines="50" w:afterAutospacing="0" w:line="340" w:lineRule="atLeast"/>
        <w:rPr>
          <w:rFonts w:hAnsi="宋体" w:cstheme="minorEastAsia"/>
          <w:szCs w:val="24"/>
        </w:rPr>
      </w:pPr>
      <w:r>
        <w:rPr>
          <w:rFonts w:hint="eastAsia" w:hAnsi="宋体" w:cstheme="minorEastAsia"/>
          <w:szCs w:val="24"/>
        </w:rPr>
        <w:t>四、课程安排</w:t>
      </w:r>
    </w:p>
    <w:tbl>
      <w:tblPr>
        <w:tblStyle w:val="11"/>
        <w:tblpPr w:leftFromText="180" w:rightFromText="180" w:vertAnchor="text" w:horzAnchor="page" w:tblpX="2047" w:tblpY="87"/>
        <w:tblOverlap w:val="never"/>
        <w:tblW w:w="70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7"/>
        <w:gridCol w:w="3181"/>
        <w:gridCol w:w="2126"/>
      </w:tblGrid>
      <w:tr w14:paraId="26607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747" w:type="dxa"/>
          </w:tcPr>
          <w:p w14:paraId="5406DAF8">
            <w:pPr>
              <w:pStyle w:val="9"/>
              <w:spacing w:before="156" w:beforeLines="50" w:beforeAutospacing="0" w:after="156" w:afterLines="50" w:afterAutospacing="0" w:line="340" w:lineRule="atLeast"/>
              <w:jc w:val="center"/>
              <w:rPr>
                <w:rFonts w:hAnsi="宋体" w:cstheme="minorEastAsia"/>
                <w:szCs w:val="24"/>
              </w:rPr>
            </w:pPr>
            <w:r>
              <w:rPr>
                <w:rFonts w:hint="eastAsia" w:hAnsi="宋体" w:cstheme="minorEastAsia"/>
                <w:szCs w:val="24"/>
              </w:rPr>
              <w:t>周次</w:t>
            </w:r>
          </w:p>
        </w:tc>
        <w:tc>
          <w:tcPr>
            <w:tcW w:w="3181" w:type="dxa"/>
          </w:tcPr>
          <w:p w14:paraId="260B43B9">
            <w:pPr>
              <w:pStyle w:val="9"/>
              <w:spacing w:before="156" w:beforeLines="50" w:beforeAutospacing="0" w:after="156" w:afterLines="50" w:afterAutospacing="0" w:line="340" w:lineRule="atLeast"/>
              <w:jc w:val="center"/>
              <w:rPr>
                <w:rFonts w:hAnsi="宋体" w:cstheme="minorEastAsia"/>
                <w:szCs w:val="24"/>
              </w:rPr>
            </w:pPr>
            <w:r>
              <w:rPr>
                <w:rFonts w:hint="eastAsia" w:hAnsi="宋体" w:cstheme="minorEastAsia"/>
                <w:szCs w:val="24"/>
              </w:rPr>
              <w:t>课程</w:t>
            </w:r>
          </w:p>
        </w:tc>
        <w:tc>
          <w:tcPr>
            <w:tcW w:w="2126" w:type="dxa"/>
          </w:tcPr>
          <w:p w14:paraId="1931CBB4">
            <w:pPr>
              <w:pStyle w:val="9"/>
              <w:spacing w:before="156" w:beforeLines="50" w:beforeAutospacing="0" w:after="156" w:afterLines="50" w:afterAutospacing="0" w:line="340" w:lineRule="atLeast"/>
              <w:jc w:val="center"/>
              <w:rPr>
                <w:rFonts w:hAnsi="宋体" w:cstheme="minorEastAsia"/>
                <w:szCs w:val="24"/>
              </w:rPr>
            </w:pPr>
            <w:r>
              <w:rPr>
                <w:rFonts w:hint="eastAsia" w:hAnsi="宋体" w:cstheme="minorEastAsia"/>
                <w:szCs w:val="24"/>
              </w:rPr>
              <w:t>备注</w:t>
            </w:r>
          </w:p>
        </w:tc>
      </w:tr>
      <w:tr w14:paraId="6ED29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</w:tcPr>
          <w:p w14:paraId="5D5EA693">
            <w:pPr>
              <w:pStyle w:val="9"/>
              <w:spacing w:before="156" w:beforeLines="50" w:beforeAutospacing="0" w:after="156" w:afterLines="50" w:afterAutospacing="0" w:line="288" w:lineRule="auto"/>
              <w:jc w:val="center"/>
              <w:rPr>
                <w:rFonts w:asciiTheme="minorEastAsia" w:hAnsiTheme="minorEastAsia" w:eastAsiaTheme="minorEastAsia" w:cstheme="minorEastAsia"/>
                <w:kern w:val="0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第</w:t>
            </w:r>
            <w:r>
              <w:rPr>
                <w:rFonts w:hint="eastAsia" w:asciiTheme="minorEastAsia" w:hAnsiTheme="minorEastAsia" w:eastAsiaTheme="minorEastAsia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Cs w:val="24"/>
              </w:rPr>
              <w:t>周</w:t>
            </w:r>
          </w:p>
        </w:tc>
        <w:tc>
          <w:tcPr>
            <w:tcW w:w="3181" w:type="dxa"/>
          </w:tcPr>
          <w:p w14:paraId="13294BB8">
            <w:pPr>
              <w:pStyle w:val="9"/>
              <w:spacing w:before="156" w:beforeLines="50" w:beforeAutospacing="0" w:after="156" w:afterLines="50" w:afterAutospacing="0" w:line="288" w:lineRule="auto"/>
              <w:jc w:val="center"/>
              <w:rPr>
                <w:rFonts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hAnsi="宋体" w:cs="宋体"/>
              </w:rPr>
              <w:t>开学第一课</w:t>
            </w:r>
          </w:p>
        </w:tc>
        <w:tc>
          <w:tcPr>
            <w:tcW w:w="2126" w:type="dxa"/>
          </w:tcPr>
          <w:p w14:paraId="324A7E0D">
            <w:pPr>
              <w:pStyle w:val="9"/>
              <w:spacing w:before="156" w:beforeLines="50" w:beforeAutospacing="0" w:after="156" w:afterLines="50" w:afterAutospacing="0" w:line="340" w:lineRule="atLeast"/>
              <w:rPr>
                <w:rFonts w:hAnsi="宋体" w:cstheme="minorEastAsia"/>
                <w:szCs w:val="24"/>
              </w:rPr>
            </w:pPr>
          </w:p>
        </w:tc>
      </w:tr>
      <w:tr w14:paraId="273E3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</w:tcPr>
          <w:p w14:paraId="2044A4DD">
            <w:pPr>
              <w:spacing w:before="156" w:beforeLines="50" w:after="156" w:afterLines="50" w:line="288" w:lineRule="auto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第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周</w:t>
            </w:r>
          </w:p>
        </w:tc>
        <w:tc>
          <w:tcPr>
            <w:tcW w:w="3181" w:type="dxa"/>
          </w:tcPr>
          <w:p w14:paraId="0475828A">
            <w:pPr>
              <w:pStyle w:val="9"/>
              <w:spacing w:before="156" w:beforeLines="50" w:beforeAutospacing="0" w:after="156" w:afterLines="50" w:afterAutospacing="0" w:line="288" w:lineRule="auto"/>
              <w:jc w:val="center"/>
              <w:rPr>
                <w:rFonts w:hint="default" w:asciiTheme="minorEastAsia" w:hAnsiTheme="minorEastAsia" w:eastAsiaTheme="minorEastAsia" w:cstheme="minorEastAsia"/>
                <w:szCs w:val="24"/>
                <w:lang w:val="en-US" w:eastAsia="zh-CN"/>
              </w:rPr>
            </w:pPr>
            <w:r>
              <w:rPr>
                <w:rFonts w:hint="eastAsia" w:hAnsi="宋体" w:cs="宋体" w:eastAsiaTheme="minorEastAsia"/>
                <w:lang w:val="en-US" w:eastAsia="zh-CN"/>
              </w:rPr>
              <w:t>安安全全滑滑梯</w:t>
            </w:r>
          </w:p>
        </w:tc>
        <w:tc>
          <w:tcPr>
            <w:tcW w:w="2126" w:type="dxa"/>
          </w:tcPr>
          <w:p w14:paraId="2B1D89DA">
            <w:pPr>
              <w:pStyle w:val="9"/>
              <w:spacing w:before="156" w:beforeLines="50" w:beforeAutospacing="0" w:after="156" w:afterLines="50" w:afterAutospacing="0" w:line="340" w:lineRule="atLeast"/>
              <w:rPr>
                <w:rFonts w:hAnsi="宋体" w:cstheme="minorEastAsia"/>
                <w:szCs w:val="24"/>
              </w:rPr>
            </w:pPr>
          </w:p>
        </w:tc>
      </w:tr>
      <w:tr w14:paraId="5F67A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</w:tcPr>
          <w:p w14:paraId="1A29DE46">
            <w:pPr>
              <w:spacing w:before="156" w:beforeLines="50" w:after="156" w:afterLines="50" w:line="288" w:lineRule="auto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第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周</w:t>
            </w:r>
          </w:p>
        </w:tc>
        <w:tc>
          <w:tcPr>
            <w:tcW w:w="3181" w:type="dxa"/>
          </w:tcPr>
          <w:p w14:paraId="5340E597">
            <w:pPr>
              <w:pStyle w:val="9"/>
              <w:spacing w:before="156" w:beforeLines="50" w:beforeAutospacing="0" w:after="156" w:afterLines="50" w:afterAutospacing="0" w:line="288" w:lineRule="auto"/>
              <w:jc w:val="center"/>
              <w:rPr>
                <w:rFonts w:hint="default" w:asciiTheme="minorEastAsia" w:hAnsiTheme="minorEastAsia" w:eastAsiaTheme="minorEastAsia" w:cs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  <w:t>大大的眼睛</w:t>
            </w:r>
          </w:p>
        </w:tc>
        <w:tc>
          <w:tcPr>
            <w:tcW w:w="2126" w:type="dxa"/>
          </w:tcPr>
          <w:p w14:paraId="7BB4BA9A">
            <w:pPr>
              <w:pStyle w:val="9"/>
              <w:spacing w:before="156" w:beforeLines="50" w:beforeAutospacing="0" w:after="156" w:afterLines="50" w:afterAutospacing="0" w:line="340" w:lineRule="atLeast"/>
              <w:rPr>
                <w:rFonts w:hAnsi="宋体" w:cstheme="minorEastAsia"/>
                <w:szCs w:val="24"/>
              </w:rPr>
            </w:pPr>
          </w:p>
        </w:tc>
      </w:tr>
      <w:tr w14:paraId="417BF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</w:tcPr>
          <w:p w14:paraId="25FC15F3">
            <w:pPr>
              <w:spacing w:before="156" w:beforeLines="50" w:after="156" w:afterLines="50" w:line="288" w:lineRule="auto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第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周</w:t>
            </w:r>
          </w:p>
        </w:tc>
        <w:tc>
          <w:tcPr>
            <w:tcW w:w="3181" w:type="dxa"/>
          </w:tcPr>
          <w:p w14:paraId="52E2DE4C">
            <w:pPr>
              <w:pStyle w:val="9"/>
              <w:spacing w:before="156" w:beforeLines="50" w:beforeAutospacing="0" w:after="156" w:afterLines="50" w:afterAutospacing="0" w:line="288" w:lineRule="auto"/>
              <w:jc w:val="center"/>
              <w:rPr>
                <w:rFonts w:hint="default" w:asciiTheme="minorEastAsia" w:hAnsiTheme="minorEastAsia" w:eastAsiaTheme="minorEastAsia" w:cstheme="minorEastAsia"/>
                <w:szCs w:val="24"/>
                <w:lang w:val="en-US" w:eastAsia="zh-CN"/>
              </w:rPr>
            </w:pPr>
            <w:r>
              <w:rPr>
                <w:rFonts w:hint="eastAsia" w:hAnsi="宋体" w:cs="宋体" w:eastAsiaTheme="minorEastAsia"/>
                <w:lang w:val="en-US" w:eastAsia="zh-CN"/>
              </w:rPr>
              <w:t>男男的脚受伤了</w:t>
            </w:r>
          </w:p>
        </w:tc>
        <w:tc>
          <w:tcPr>
            <w:tcW w:w="2126" w:type="dxa"/>
          </w:tcPr>
          <w:p w14:paraId="6476ED56">
            <w:pPr>
              <w:pStyle w:val="9"/>
              <w:spacing w:before="156" w:beforeLines="50" w:beforeAutospacing="0" w:after="156" w:afterLines="50" w:afterAutospacing="0" w:line="340" w:lineRule="atLeast"/>
              <w:rPr>
                <w:rFonts w:hAnsi="宋体" w:cstheme="minorEastAsia"/>
                <w:szCs w:val="24"/>
              </w:rPr>
            </w:pPr>
          </w:p>
        </w:tc>
      </w:tr>
      <w:tr w14:paraId="527F6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</w:tcPr>
          <w:p w14:paraId="12AAF6F3">
            <w:pPr>
              <w:spacing w:before="156" w:beforeLines="50" w:after="156" w:afterLines="50" w:line="288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第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周</w:t>
            </w:r>
          </w:p>
        </w:tc>
        <w:tc>
          <w:tcPr>
            <w:tcW w:w="3181" w:type="dxa"/>
          </w:tcPr>
          <w:p w14:paraId="43D08F89">
            <w:pPr>
              <w:pStyle w:val="9"/>
              <w:spacing w:before="156" w:beforeLines="50" w:beforeAutospacing="0" w:after="156" w:afterLines="50" w:afterAutospacing="0" w:line="288" w:lineRule="auto"/>
              <w:jc w:val="center"/>
              <w:rPr>
                <w:rFonts w:hint="eastAsia" w:hAnsi="宋体" w:eastAsia="宋体" w:cs="宋体"/>
                <w:lang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过马路</w:t>
            </w:r>
          </w:p>
        </w:tc>
        <w:tc>
          <w:tcPr>
            <w:tcW w:w="2126" w:type="dxa"/>
          </w:tcPr>
          <w:p w14:paraId="331F4AA5">
            <w:pPr>
              <w:pStyle w:val="9"/>
              <w:spacing w:before="156" w:beforeLines="50" w:beforeAutospacing="0" w:after="156" w:afterLines="50" w:afterAutospacing="0" w:line="340" w:lineRule="atLeast"/>
              <w:rPr>
                <w:rFonts w:hAnsi="宋体" w:cstheme="minorEastAsia"/>
                <w:szCs w:val="24"/>
              </w:rPr>
            </w:pPr>
          </w:p>
        </w:tc>
      </w:tr>
      <w:tr w14:paraId="71C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</w:tcPr>
          <w:p w14:paraId="54779799">
            <w:pPr>
              <w:spacing w:before="156" w:beforeLines="50" w:after="156" w:afterLines="50" w:line="288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第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周</w:t>
            </w:r>
          </w:p>
        </w:tc>
        <w:tc>
          <w:tcPr>
            <w:tcW w:w="3181" w:type="dxa"/>
          </w:tcPr>
          <w:p w14:paraId="0AFFB455">
            <w:pPr>
              <w:pStyle w:val="9"/>
              <w:spacing w:before="156" w:beforeLines="50" w:beforeAutospacing="0" w:after="156" w:afterLines="50" w:afterAutospacing="0" w:line="288" w:lineRule="auto"/>
              <w:jc w:val="center"/>
              <w:rPr>
                <w:rFonts w:hint="default" w:asciiTheme="minorEastAsia" w:hAnsiTheme="minorEastAsia" w:eastAsiaTheme="minorEastAsia"/>
                <w:szCs w:val="24"/>
                <w:lang w:val="en-US" w:eastAsia="zh-CN"/>
              </w:rPr>
            </w:pPr>
            <w:r>
              <w:rPr>
                <w:rFonts w:hint="eastAsia" w:hAnsi="宋体" w:cs="宋体" w:eastAsiaTheme="minorEastAsia"/>
                <w:lang w:val="en-US" w:eastAsia="zh-CN"/>
              </w:rPr>
              <w:t>不跟陌生人走</w:t>
            </w:r>
          </w:p>
        </w:tc>
        <w:tc>
          <w:tcPr>
            <w:tcW w:w="2126" w:type="dxa"/>
          </w:tcPr>
          <w:p w14:paraId="0EB5DC00">
            <w:pPr>
              <w:pStyle w:val="9"/>
              <w:spacing w:before="156" w:beforeLines="50" w:beforeAutospacing="0" w:after="156" w:afterLines="50" w:afterAutospacing="0" w:line="340" w:lineRule="atLeast"/>
              <w:rPr>
                <w:rFonts w:hAnsi="宋体" w:cstheme="minorEastAsia"/>
                <w:szCs w:val="24"/>
              </w:rPr>
            </w:pPr>
          </w:p>
        </w:tc>
      </w:tr>
      <w:tr w14:paraId="0A56E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</w:tcPr>
          <w:p w14:paraId="5AC26B65">
            <w:pPr>
              <w:spacing w:before="156" w:beforeLines="50" w:after="156" w:afterLines="50" w:line="288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第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周</w:t>
            </w:r>
          </w:p>
        </w:tc>
        <w:tc>
          <w:tcPr>
            <w:tcW w:w="3181" w:type="dxa"/>
          </w:tcPr>
          <w:p w14:paraId="6F9EEBF0">
            <w:pPr>
              <w:pStyle w:val="9"/>
              <w:spacing w:before="156" w:beforeLines="50" w:beforeAutospacing="0" w:after="156" w:afterLines="50" w:afterAutospacing="0" w:line="288" w:lineRule="auto"/>
              <w:jc w:val="center"/>
              <w:rPr>
                <w:rFonts w:hint="default" w:asciiTheme="minorEastAsia" w:hAnsiTheme="minorEastAsia" w:eastAsiaTheme="minorEastAsia"/>
                <w:szCs w:val="24"/>
                <w:lang w:val="en-US" w:eastAsia="zh-CN"/>
              </w:rPr>
            </w:pPr>
            <w:r>
              <w:rPr>
                <w:rFonts w:hint="eastAsia" w:hAnsi="宋体" w:cs="宋体" w:eastAsiaTheme="minorEastAsia"/>
                <w:lang w:val="en-US" w:eastAsia="zh-CN"/>
              </w:rPr>
              <w:t>干净食物人人爱</w:t>
            </w:r>
          </w:p>
        </w:tc>
        <w:tc>
          <w:tcPr>
            <w:tcW w:w="2126" w:type="dxa"/>
          </w:tcPr>
          <w:p w14:paraId="3ECE45C2">
            <w:pPr>
              <w:pStyle w:val="9"/>
              <w:spacing w:before="156" w:beforeLines="50" w:beforeAutospacing="0" w:after="156" w:afterLines="50" w:afterAutospacing="0" w:line="340" w:lineRule="atLeast"/>
              <w:rPr>
                <w:rFonts w:hAnsi="宋体" w:cstheme="minorEastAsia"/>
                <w:szCs w:val="24"/>
              </w:rPr>
            </w:pPr>
          </w:p>
        </w:tc>
      </w:tr>
      <w:tr w14:paraId="67FA4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</w:tcPr>
          <w:p w14:paraId="4702EAD6">
            <w:pPr>
              <w:spacing w:before="156" w:beforeLines="50" w:after="156" w:afterLines="50" w:line="288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第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周</w:t>
            </w:r>
          </w:p>
        </w:tc>
        <w:tc>
          <w:tcPr>
            <w:tcW w:w="3181" w:type="dxa"/>
          </w:tcPr>
          <w:p w14:paraId="55F7DF1E">
            <w:pPr>
              <w:pStyle w:val="9"/>
              <w:spacing w:before="156" w:beforeLines="50" w:beforeAutospacing="0" w:after="156" w:afterLines="50" w:afterAutospacing="0" w:line="288" w:lineRule="auto"/>
              <w:jc w:val="center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hAnsi="宋体" w:cs="宋体"/>
              </w:rPr>
              <w:t>不玩火远离火</w:t>
            </w:r>
          </w:p>
        </w:tc>
        <w:tc>
          <w:tcPr>
            <w:tcW w:w="2126" w:type="dxa"/>
          </w:tcPr>
          <w:p w14:paraId="213777C3">
            <w:pPr>
              <w:pStyle w:val="9"/>
              <w:spacing w:before="156" w:beforeLines="50" w:beforeAutospacing="0" w:after="156" w:afterLines="50" w:afterAutospacing="0" w:line="340" w:lineRule="atLeast"/>
              <w:rPr>
                <w:rFonts w:hAnsi="宋体" w:cstheme="minorEastAsia"/>
                <w:szCs w:val="24"/>
              </w:rPr>
            </w:pPr>
          </w:p>
        </w:tc>
      </w:tr>
      <w:tr w14:paraId="3D380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</w:tcPr>
          <w:p w14:paraId="7530A826">
            <w:pPr>
              <w:spacing w:before="156" w:beforeLines="50" w:after="156" w:afterLines="50" w:line="288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第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周</w:t>
            </w:r>
          </w:p>
        </w:tc>
        <w:tc>
          <w:tcPr>
            <w:tcW w:w="3181" w:type="dxa"/>
          </w:tcPr>
          <w:p w14:paraId="66AFA6D3">
            <w:pPr>
              <w:pStyle w:val="9"/>
              <w:spacing w:before="156" w:beforeLines="50" w:beforeAutospacing="0" w:after="156" w:afterLines="50" w:afterAutospacing="0" w:line="288" w:lineRule="auto"/>
              <w:jc w:val="center"/>
              <w:rPr>
                <w:rFonts w:hint="default" w:asciiTheme="minorEastAsia" w:hAnsiTheme="minorEastAsia" w:eastAsiaTheme="minorEastAsia"/>
                <w:szCs w:val="24"/>
                <w:lang w:val="en-US" w:eastAsia="zh-CN"/>
              </w:rPr>
            </w:pPr>
            <w:r>
              <w:rPr>
                <w:rFonts w:hint="eastAsia" w:hAnsi="宋体" w:cs="宋体" w:eastAsiaTheme="minorEastAsia"/>
                <w:lang w:val="en-US" w:eastAsia="zh-CN"/>
              </w:rPr>
              <w:t>上下楼梯</w:t>
            </w:r>
          </w:p>
        </w:tc>
        <w:tc>
          <w:tcPr>
            <w:tcW w:w="2126" w:type="dxa"/>
          </w:tcPr>
          <w:p w14:paraId="7B9FD194">
            <w:pPr>
              <w:pStyle w:val="9"/>
              <w:spacing w:before="156" w:beforeLines="50" w:beforeAutospacing="0" w:after="156" w:afterLines="50" w:afterAutospacing="0" w:line="340" w:lineRule="atLeast"/>
              <w:rPr>
                <w:rFonts w:hAnsi="宋体" w:cstheme="minorEastAsia"/>
                <w:szCs w:val="24"/>
              </w:rPr>
            </w:pPr>
          </w:p>
        </w:tc>
      </w:tr>
      <w:tr w14:paraId="4A34D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47" w:type="dxa"/>
          </w:tcPr>
          <w:p w14:paraId="1D6F4011">
            <w:pPr>
              <w:spacing w:before="156" w:beforeLines="50" w:after="156" w:afterLines="50" w:line="288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第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周</w:t>
            </w:r>
          </w:p>
        </w:tc>
        <w:tc>
          <w:tcPr>
            <w:tcW w:w="3181" w:type="dxa"/>
          </w:tcPr>
          <w:p w14:paraId="4FF99442">
            <w:pPr>
              <w:pStyle w:val="9"/>
              <w:spacing w:before="156" w:beforeLines="50" w:beforeAutospacing="0" w:after="156" w:afterLines="50" w:afterAutospacing="0" w:line="288" w:lineRule="auto"/>
              <w:jc w:val="center"/>
              <w:rPr>
                <w:rFonts w:hint="default" w:asciiTheme="minorEastAsia" w:hAnsiTheme="minorEastAsia" w:eastAsiaTheme="minorEastAsia"/>
                <w:szCs w:val="24"/>
                <w:lang w:val="en-US" w:eastAsia="zh-CN"/>
              </w:rPr>
            </w:pPr>
            <w:r>
              <w:rPr>
                <w:rFonts w:hint="eastAsia" w:hAnsi="宋体" w:cs="宋体" w:eastAsiaTheme="minorEastAsia"/>
                <w:lang w:val="en-US" w:eastAsia="zh-CN"/>
              </w:rPr>
              <w:t>溺水安全</w:t>
            </w:r>
          </w:p>
        </w:tc>
        <w:tc>
          <w:tcPr>
            <w:tcW w:w="2126" w:type="dxa"/>
          </w:tcPr>
          <w:p w14:paraId="34B977C7">
            <w:pPr>
              <w:pStyle w:val="9"/>
              <w:spacing w:before="156" w:beforeLines="50" w:beforeAutospacing="0" w:after="156" w:afterLines="50" w:afterAutospacing="0" w:line="340" w:lineRule="atLeast"/>
              <w:rPr>
                <w:rFonts w:hAnsi="宋体" w:cstheme="minorEastAsia"/>
                <w:szCs w:val="24"/>
              </w:rPr>
            </w:pPr>
          </w:p>
        </w:tc>
      </w:tr>
    </w:tbl>
    <w:p w14:paraId="59AEC2DD">
      <w:pPr>
        <w:spacing w:line="360" w:lineRule="auto"/>
        <w:rPr>
          <w:rFonts w:ascii="宋体" w:hAnsi="宋体" w:cstheme="minorEastAsia"/>
          <w:bCs/>
          <w:sz w:val="24"/>
          <w:szCs w:val="24"/>
        </w:rPr>
      </w:pPr>
    </w:p>
    <w:p w14:paraId="20767CB1">
      <w:pPr>
        <w:spacing w:line="360" w:lineRule="auto"/>
        <w:rPr>
          <w:rFonts w:ascii="宋体" w:hAnsi="宋体" w:cstheme="minorEastAsia"/>
          <w:bCs/>
          <w:sz w:val="24"/>
          <w:szCs w:val="24"/>
        </w:rPr>
      </w:pPr>
    </w:p>
    <w:p w14:paraId="7C9A550F">
      <w:pPr>
        <w:spacing w:line="360" w:lineRule="auto"/>
        <w:rPr>
          <w:rFonts w:ascii="宋体" w:hAnsi="宋体" w:cstheme="minorEastAsia"/>
          <w:bCs/>
          <w:sz w:val="24"/>
          <w:szCs w:val="24"/>
        </w:rPr>
      </w:pPr>
    </w:p>
    <w:p w14:paraId="47BE1A95">
      <w:pPr>
        <w:rPr>
          <w:rFonts w:ascii="宋体" w:hAnsi="宋体"/>
        </w:rPr>
      </w:pPr>
    </w:p>
    <w:p w14:paraId="630EA2F7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</w:p>
    <w:p w14:paraId="438EB998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</w:p>
    <w:p w14:paraId="56A77B91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0662627D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</w:p>
    <w:p w14:paraId="3E84E06A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</w:p>
    <w:p w14:paraId="5594BAC4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</w:p>
    <w:p w14:paraId="41EDFDD0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</w:p>
    <w:p w14:paraId="2C4F87BD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</w:p>
    <w:p w14:paraId="15EA1945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</w:p>
    <w:p w14:paraId="17FB041B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</w:p>
    <w:p w14:paraId="69DED0D3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</w:p>
    <w:p w14:paraId="75736CE2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</w:p>
    <w:p w14:paraId="48D18F4C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04B3CFBD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以上这些就是我班制定的安全计划，孩子的安全就是我们的工作中心，我们的宗旨就是“孩子第一”。</w:t>
      </w:r>
    </w:p>
    <w:p w14:paraId="04F2874F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D492D0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F0368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342299A7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6B5DF8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A00DAB8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384ABD"/>
    <w:multiLevelType w:val="multilevel"/>
    <w:tmpl w:val="1C384ABD"/>
    <w:lvl w:ilvl="0" w:tentative="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567D5C"/>
    <w:rsid w:val="00011FD0"/>
    <w:rsid w:val="00026160"/>
    <w:rsid w:val="0003359C"/>
    <w:rsid w:val="00070A32"/>
    <w:rsid w:val="0008234B"/>
    <w:rsid w:val="0009027C"/>
    <w:rsid w:val="000A6B99"/>
    <w:rsid w:val="000B297C"/>
    <w:rsid w:val="000C02F1"/>
    <w:rsid w:val="000E4277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6B27"/>
    <w:rsid w:val="00577324"/>
    <w:rsid w:val="00597770"/>
    <w:rsid w:val="005A5940"/>
    <w:rsid w:val="005A77D5"/>
    <w:rsid w:val="00615DDB"/>
    <w:rsid w:val="00647587"/>
    <w:rsid w:val="00653692"/>
    <w:rsid w:val="0065591C"/>
    <w:rsid w:val="006575E2"/>
    <w:rsid w:val="00676F7E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B1975"/>
    <w:rsid w:val="008C2ACB"/>
    <w:rsid w:val="008C7632"/>
    <w:rsid w:val="008D4A66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B455D"/>
    <w:rsid w:val="00AD4665"/>
    <w:rsid w:val="00B14943"/>
    <w:rsid w:val="00B669DF"/>
    <w:rsid w:val="00B718AC"/>
    <w:rsid w:val="00B7691D"/>
    <w:rsid w:val="00B86721"/>
    <w:rsid w:val="00BD14AD"/>
    <w:rsid w:val="00BE1683"/>
    <w:rsid w:val="00BF5EDE"/>
    <w:rsid w:val="00C3513D"/>
    <w:rsid w:val="00C76948"/>
    <w:rsid w:val="00C94661"/>
    <w:rsid w:val="00CB44ED"/>
    <w:rsid w:val="00CC30DD"/>
    <w:rsid w:val="00CC5001"/>
    <w:rsid w:val="00CC5310"/>
    <w:rsid w:val="00CC5506"/>
    <w:rsid w:val="00CC59BA"/>
    <w:rsid w:val="00D0208F"/>
    <w:rsid w:val="00D1439D"/>
    <w:rsid w:val="00D25A2F"/>
    <w:rsid w:val="00D44B93"/>
    <w:rsid w:val="00D81EA1"/>
    <w:rsid w:val="00D82BBE"/>
    <w:rsid w:val="00D837E0"/>
    <w:rsid w:val="00DD00DC"/>
    <w:rsid w:val="00DD5C80"/>
    <w:rsid w:val="00DD6AA5"/>
    <w:rsid w:val="00E2349F"/>
    <w:rsid w:val="00E32221"/>
    <w:rsid w:val="00E9124F"/>
    <w:rsid w:val="00EE554D"/>
    <w:rsid w:val="00F302ED"/>
    <w:rsid w:val="00F34D9F"/>
    <w:rsid w:val="00F368C4"/>
    <w:rsid w:val="00F516AB"/>
    <w:rsid w:val="00F83A02"/>
    <w:rsid w:val="00FA359E"/>
    <w:rsid w:val="00FD52EF"/>
    <w:rsid w:val="00FD73A1"/>
    <w:rsid w:val="00FE5FE6"/>
    <w:rsid w:val="020A52E7"/>
    <w:rsid w:val="02D56BEB"/>
    <w:rsid w:val="093B5E68"/>
    <w:rsid w:val="0C600777"/>
    <w:rsid w:val="0E9706D8"/>
    <w:rsid w:val="0F1F065F"/>
    <w:rsid w:val="10157499"/>
    <w:rsid w:val="1468189D"/>
    <w:rsid w:val="17EE3B2D"/>
    <w:rsid w:val="18680161"/>
    <w:rsid w:val="191224D5"/>
    <w:rsid w:val="1E2B1778"/>
    <w:rsid w:val="20CA0A06"/>
    <w:rsid w:val="211E4FC6"/>
    <w:rsid w:val="21E51653"/>
    <w:rsid w:val="22B33EC7"/>
    <w:rsid w:val="286E0F8B"/>
    <w:rsid w:val="33975032"/>
    <w:rsid w:val="34CB2B22"/>
    <w:rsid w:val="3F584DD8"/>
    <w:rsid w:val="405F235E"/>
    <w:rsid w:val="42FE4F4C"/>
    <w:rsid w:val="44DA6D2A"/>
    <w:rsid w:val="4ECC4C2F"/>
    <w:rsid w:val="518E5D73"/>
    <w:rsid w:val="565D7CE5"/>
    <w:rsid w:val="587A4A51"/>
    <w:rsid w:val="5CCA5D9F"/>
    <w:rsid w:val="66F9092D"/>
    <w:rsid w:val="715C692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986</Words>
  <Characters>1015</Characters>
  <Lines>14</Lines>
  <Paragraphs>4</Paragraphs>
  <TotalTime>11</TotalTime>
  <ScaleCrop>false</ScaleCrop>
  <LinksUpToDate>false</LinksUpToDate>
  <CharactersWithSpaces>1021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张小姐</cp:lastModifiedBy>
  <cp:lastPrinted>2021-03-29T06:14:00Z</cp:lastPrinted>
  <dcterms:modified xsi:type="dcterms:W3CDTF">2024-09-05T08:47:33Z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FD96ABBFF1FB49A08FC991E463761A65</vt:lpwstr>
  </property>
</Properties>
</file>