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5E2D">
      <w:pPr>
        <w:spacing w:line="360" w:lineRule="auto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常州市新北区三井第二实验小学校服采购项目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招标公告</w:t>
      </w:r>
    </w:p>
    <w:tbl>
      <w:tblPr>
        <w:tblStyle w:val="5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 w14:paraId="7C86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771" w:type="dxa"/>
            <w:noWrap w:val="0"/>
            <w:vAlign w:val="center"/>
          </w:tcPr>
          <w:p w14:paraId="468325E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bookmarkStart w:id="0" w:name="_Toc28359079"/>
            <w:bookmarkStart w:id="1" w:name="_Toc35393790"/>
            <w:bookmarkStart w:id="2" w:name="_Toc35393621"/>
            <w:bookmarkStart w:id="3" w:name="_Toc28359002"/>
            <w:bookmarkStart w:id="4" w:name="_Hlk24379207"/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项目概况</w:t>
            </w:r>
          </w:p>
          <w:p w14:paraId="7921379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常州市新北区三井第二实验小学校服采购项目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的潜在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应在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江苏省常州市天宁区锦绣路锦绣东苑29幢4楼401号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(常州市政务服务中心对面)获取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文件,并于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日上午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 w:bidi="ar"/>
              </w:rPr>
              <w:t>09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:00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(北京时间)前递交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文件。</w:t>
            </w:r>
          </w:p>
        </w:tc>
      </w:tr>
    </w:tbl>
    <w:p w14:paraId="2C41AF19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 w14:paraId="76A5145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1.项目编号:ZJGK2024069</w:t>
      </w:r>
    </w:p>
    <w:p w14:paraId="7054A6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2.项目名称:</w:t>
      </w:r>
      <w:bookmarkEnd w:id="4"/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常州市新北区三井第二实验小学校服采购项目</w:t>
      </w:r>
    </w:p>
    <w:p w14:paraId="503F35F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（单价总和）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人民币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645元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/套（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含夏季款、春秋款、冬季款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）。</w:t>
      </w:r>
    </w:p>
    <w:p w14:paraId="42E98D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需求: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常州市新北区三井第二实验小学校服采购项目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，项目内容包含校服的设计、制作、运输至采购人指定位置。校服应通过相关检验检测，经采购人及其相关部门的验收合格后，进行发放和直至余货取回等全过程工作。采购人实际采购可能只从各品目中选择一种或多种(不一定全套采购)，征得2/3以上家长同意后，双方才履行合同，采购人负责将采购款式、数量交予中标单位，中标单位按照采购人提供的款式、颜色要求制作校服，校服面料必须与采购需求中一致。贫困学生校服征订工作按教育主管部门相关文件执行。</w:t>
      </w:r>
    </w:p>
    <w:p w14:paraId="3A2E1E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供货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中标单位须在采购人指定时间前完成生产任务，并按要求将货物送达采购人指定的地点。</w:t>
      </w:r>
    </w:p>
    <w:p w14:paraId="0BFDFE9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质保期限: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免费质保期不低于1年，自物品验收合格之日起（采购人代表在验收报告上签字之日起计算）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至少12个月内正常使用，对非人为因素损坏的服装，承诺无条件负责更换。</w:t>
      </w:r>
    </w:p>
    <w:p w14:paraId="221F7D5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服务期限: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贰年，合同一年一签。一年合同期满后经采购单位考核合格后可续签下一年合同。考核不合格的，终止合同不再续签（合同期内价格保持一致）。</w:t>
      </w:r>
    </w:p>
    <w:p w14:paraId="5135A6A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本项目是否接受联合体投标:□是 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否。</w:t>
      </w:r>
    </w:p>
    <w:p w14:paraId="7BAA495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本项目是否接受进口产品投标:□是 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否。</w:t>
      </w:r>
    </w:p>
    <w:p w14:paraId="1DB779DA">
      <w:pPr>
        <w:pStyle w:val="2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5" w:name="_Toc28359080"/>
      <w:bookmarkStart w:id="6" w:name="_Toc35393791"/>
      <w:bookmarkStart w:id="7" w:name="_Toc28359003"/>
      <w:bookmarkStart w:id="8" w:name="_Toc353936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二、申请人的资格要求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须同时满足</w:t>
      </w:r>
      <w:bookmarkEnd w:id="5"/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0BC45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1.满足《中华人民共和国政府采购法》第二十二条规定以及下列情形:</w:t>
      </w:r>
    </w:p>
    <w:p w14:paraId="695E3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1.1未被“信用中国”网站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WWW.creditchina.gov.cn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或“中国政府采购网”网站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www.ccgp.gov.cn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列入失信被执行人、重大税收违法案件当事人名单、政府采购严重失信行为记录名单；</w:t>
      </w:r>
    </w:p>
    <w:p w14:paraId="0C1C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1.2单位负责人为同一人或者存在直接控股、管理关系的不同投标人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包含法定代表人为同一个人的两个及两个以上法人，母公司、全资子公司及其控股公司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，不得参加同一合同项下的政府采购活动。</w:t>
      </w:r>
    </w:p>
    <w:p w14:paraId="5C6B5BE3">
      <w:pPr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9" w:name="_Toc28359081"/>
      <w:bookmarkStart w:id="10" w:name="_Toc28359004"/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落实政府采购政策需满足的资格要求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无。</w:t>
      </w:r>
    </w:p>
    <w:p w14:paraId="64C0A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3.本项目的特定资格要求: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无</w:t>
      </w:r>
    </w:p>
    <w:bookmarkEnd w:id="9"/>
    <w:bookmarkEnd w:id="10"/>
    <w:p w14:paraId="2A4836B0">
      <w:pPr>
        <w:pageBreakBefore w:val="0"/>
        <w:shd w:val="clear" w:color="auto" w:fill="auto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11" w:name="_Toc35393792"/>
      <w:bookmarkStart w:id="12" w:name="_Toc35393623"/>
      <w:r>
        <w:rPr>
          <w:rFonts w:hint="eastAsia" w:ascii="宋体" w:hAnsi="宋体" w:eastAsia="宋体" w:cs="宋体"/>
          <w:color w:val="auto"/>
          <w:sz w:val="24"/>
          <w:highlight w:val="none"/>
        </w:rPr>
        <w:t>3.1本项目是否接受分支机构参与投标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□是  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否；</w:t>
      </w:r>
    </w:p>
    <w:p w14:paraId="3627FFF1">
      <w:pPr>
        <w:pageBreakBefore w:val="0"/>
        <w:shd w:val="clear" w:color="auto" w:fill="auto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3.2本项目是否属于政府购买服务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</w:p>
    <w:p w14:paraId="71B42DC5">
      <w:pPr>
        <w:pageBreakBefore w:val="0"/>
        <w:shd w:val="clear" w:color="auto" w:fill="auto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</w:t>
      </w:r>
    </w:p>
    <w:p w14:paraId="63656683">
      <w:pPr>
        <w:pageBreakBefore w:val="0"/>
        <w:shd w:val="clear" w:color="auto" w:fill="auto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□是，公益一类事业单位、使用事业编制且由财政拨款保障的群团组织，不得作为承接主体；</w:t>
      </w:r>
    </w:p>
    <w:p w14:paraId="4631A1C9">
      <w:pPr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3.3其他特定资格要求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:无</w:t>
      </w:r>
    </w:p>
    <w:p w14:paraId="733447FD">
      <w:pPr>
        <w:pStyle w:val="2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三、获取招标文件</w:t>
      </w:r>
      <w:bookmarkEnd w:id="11"/>
      <w:bookmarkEnd w:id="12"/>
    </w:p>
    <w:p w14:paraId="3A945D30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1.时间:</w:t>
      </w:r>
      <w:r>
        <w:rPr>
          <w:rFonts w:hint="eastAsia" w:ascii="宋体" w:hAnsi="宋体" w:cs="宋体"/>
          <w:color w:val="auto"/>
          <w:spacing w:val="-8"/>
          <w:sz w:val="24"/>
          <w:szCs w:val="24"/>
          <w:highlight w:val="none"/>
          <w:lang w:val="en-US" w:eastAsia="zh-CN"/>
        </w:rPr>
        <w:t>自本公告发布之日起至2024年12月26日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，每天上午8:30至11:30，下午13:00至17:00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北京时间，法定节假日除外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。</w:t>
      </w:r>
      <w:bookmarkStart w:id="13" w:name="_Toc28359005"/>
      <w:bookmarkStart w:id="14" w:name="_Toc28359082"/>
      <w:bookmarkStart w:id="15" w:name="_Toc35393793"/>
      <w:bookmarkStart w:id="16" w:name="_Toc35393624"/>
    </w:p>
    <w:p w14:paraId="3FF695B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2.方式:可采取以下任一种方式获取招标文件</w:t>
      </w:r>
    </w:p>
    <w:p w14:paraId="6BAF11A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线上:在规定的时间内将报名材料扫描发至本公司邮箱“changzhouzhongjin@126.com”并按要求交纳费用后，招标文件以邮件形式发送至指定邮箱。</w:t>
      </w:r>
    </w:p>
    <w:p w14:paraId="381FC6E7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现场: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江苏省常州市天宁区锦绣路锦绣东苑29幢4楼401号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(常州市政务服务中心对面)。</w:t>
      </w:r>
    </w:p>
    <w:p w14:paraId="0D55A8C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3.售价: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人民币300元/份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现金、微信或支付宝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,招标文件售后一概不退。</w:t>
      </w:r>
    </w:p>
    <w:p w14:paraId="44B5F71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四、提交投标文件</w:t>
      </w:r>
      <w:bookmarkEnd w:id="13"/>
      <w:bookmarkEnd w:id="1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截止时间、开标时间和地点</w:t>
      </w:r>
      <w:bookmarkEnd w:id="15"/>
      <w:bookmarkEnd w:id="16"/>
    </w:p>
    <w:p w14:paraId="0AD2B11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投标截止时间、开标时间: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日上午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:00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北京时间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iCs/>
          <w:color w:val="auto"/>
          <w:sz w:val="24"/>
          <w:highlight w:val="none"/>
          <w:lang w:bidi="ar"/>
        </w:rPr>
        <w:t>。</w:t>
      </w:r>
    </w:p>
    <w:p w14:paraId="5B10B43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zh-TW"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地点: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江苏省常州市天宁区锦绣路锦绣东苑29幢4楼401号开标室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(常州市政务服务中心对面)。</w:t>
      </w:r>
    </w:p>
    <w:p w14:paraId="01089789">
      <w:pPr>
        <w:pStyle w:val="2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7" w:name="_Toc28359084"/>
      <w:bookmarkStart w:id="18" w:name="_Toc28359007"/>
      <w:bookmarkStart w:id="19" w:name="_Toc35393794"/>
      <w:bookmarkStart w:id="20" w:name="_Toc353936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五、公告期限</w:t>
      </w:r>
      <w:bookmarkEnd w:id="17"/>
      <w:bookmarkEnd w:id="18"/>
      <w:bookmarkEnd w:id="19"/>
      <w:bookmarkEnd w:id="20"/>
    </w:p>
    <w:p w14:paraId="1C5512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自本公告发布之日起5个工作日。</w:t>
      </w:r>
    </w:p>
    <w:p w14:paraId="4C6E4799">
      <w:pPr>
        <w:pStyle w:val="2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1" w:name="_Toc35393626"/>
      <w:bookmarkStart w:id="22" w:name="_Toc353937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六、其他补充事宜</w:t>
      </w:r>
      <w:bookmarkEnd w:id="21"/>
      <w:bookmarkEnd w:id="22"/>
    </w:p>
    <w:p w14:paraId="0CD8C8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3" w:name="_Toc35393627"/>
      <w:bookmarkStart w:id="24" w:name="_Toc28359085"/>
      <w:bookmarkStart w:id="25" w:name="_Toc35393796"/>
      <w:bookmarkStart w:id="26" w:name="_Toc2835900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1.报名时需提供资料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报名申请表（加盖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公章，格式后附）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资料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填写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符合要求的由代理机构发放招标文件。</w:t>
      </w:r>
    </w:p>
    <w:p w14:paraId="76323F9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.有关本次招标的事项若存在变动或修改，将通过补充或更正形式在常州中金招投标有限公司网站上发布，因未能及时了解相关最新信息所引起的失误责任由投标人自负。</w:t>
      </w:r>
    </w:p>
    <w:p w14:paraId="3DD4A33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投标文件制作份数及要求</w:t>
      </w:r>
    </w:p>
    <w:p w14:paraId="611AFDB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正本份数:1份，副本份数: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份，胶装成册,未提供完整的视为无效投标。</w:t>
      </w:r>
    </w:p>
    <w:p w14:paraId="757990B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正本和副本合并密封或独立密封，由投标人根据实际情况自行确定。</w:t>
      </w:r>
    </w:p>
    <w:p w14:paraId="5D11BE3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不论投标人中标与否，投标文件均不退回。</w:t>
      </w:r>
    </w:p>
    <w:p w14:paraId="559595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4.送样清单</w:t>
      </w:r>
    </w:p>
    <w:tbl>
      <w:tblPr>
        <w:tblStyle w:val="5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45"/>
        <w:gridCol w:w="1647"/>
        <w:gridCol w:w="2945"/>
        <w:gridCol w:w="1854"/>
        <w:gridCol w:w="1102"/>
        <w:gridCol w:w="707"/>
      </w:tblGrid>
      <w:tr w14:paraId="5646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F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0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8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A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4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1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款式</w:t>
            </w:r>
          </w:p>
        </w:tc>
        <w:tc>
          <w:tcPr>
            <w:tcW w:w="9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面料要求</w:t>
            </w:r>
          </w:p>
        </w:tc>
        <w:tc>
          <w:tcPr>
            <w:tcW w:w="5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6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3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D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件数</w:t>
            </w:r>
          </w:p>
        </w:tc>
      </w:tr>
      <w:tr w14:paraId="16B9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C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D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夏季款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C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T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恤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8C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879475" cy="951230"/>
                  <wp:effectExtent l="0" t="0" r="0" b="8890"/>
                  <wp:docPr id="22" name="图片 1" descr="K24T00400000米白深麻灰环保珠地网眼拉链门襟撞色领短袖T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" descr="K24T00400000米白深麻灰环保珠地网眼拉链门襟撞色领短袖T恤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53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2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65%棉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</w:p>
          <w:p w14:paraId="0E43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35%聚酯纤维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7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3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657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75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0E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C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夏季中裤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2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777875" cy="909320"/>
                  <wp:effectExtent l="0" t="0" r="14605" b="5080"/>
                  <wp:docPr id="23" name="图片 4" descr="K11Y0010000X藏青毛圈布直筒运动中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 descr="K11Y0010000X藏青毛圈布直筒运动中裤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52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C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80棉%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</w:p>
          <w:p w14:paraId="26D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20%聚酯纤维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F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183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C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5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春秋款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A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长袖衬衫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（白、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、包含领花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7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297815</wp:posOffset>
                  </wp:positionV>
                  <wp:extent cx="650875" cy="412750"/>
                  <wp:effectExtent l="0" t="0" r="4445" b="1397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24765</wp:posOffset>
                  </wp:positionV>
                  <wp:extent cx="887730" cy="944880"/>
                  <wp:effectExtent l="0" t="0" r="11430" b="0"/>
                  <wp:wrapNone/>
                  <wp:docPr id="3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7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衬衫:96.5%棉、3.5%氨纶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410A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:100%聚酯纤维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F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6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8F9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1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B3C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长袖衬衫（白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、男、包含领带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5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highlight w:val="non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19685</wp:posOffset>
                  </wp:positionV>
                  <wp:extent cx="267335" cy="985520"/>
                  <wp:effectExtent l="0" t="0" r="6985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35560</wp:posOffset>
                  </wp:positionV>
                  <wp:extent cx="867410" cy="925195"/>
                  <wp:effectExtent l="0" t="0" r="1270" b="4445"/>
                  <wp:wrapNone/>
                  <wp:docPr id="7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衬衫:96.5%棉、3.5%氨纶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0E4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:100%聚酯纤维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A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1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12B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E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A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3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背心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8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658495" cy="933450"/>
                  <wp:effectExtent l="0" t="0" r="12065" b="11430"/>
                  <wp:docPr id="2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100%精梳棉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0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0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475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9D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07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短裙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（女）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4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878840" cy="877570"/>
                  <wp:effectExtent l="0" t="0" r="5080" b="6350"/>
                  <wp:docPr id="20" name="图片 10" descr="K13Q21000000藏青红色TR色织格短款经典循环百褶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 descr="K13Q21000000藏青红色TR色织格短款经典循环百褶裙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5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65%聚酯纤维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35%粘胶纤维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C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D95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8E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6B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8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长裤（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2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11430</wp:posOffset>
                  </wp:positionV>
                  <wp:extent cx="462915" cy="1040130"/>
                  <wp:effectExtent l="0" t="0" r="9525" b="11430"/>
                  <wp:wrapNone/>
                  <wp:docPr id="7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6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60%棉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</w:p>
          <w:p w14:paraId="6941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40%聚酯纤维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3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0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372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3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7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B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冬季款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6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脱卸式外套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8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766445" cy="1023620"/>
                  <wp:effectExtent l="0" t="0" r="10795" b="12700"/>
                  <wp:docPr id="19" name="图片 11" descr="K23X00500000卡其枣红228T涤纶塔丝隆长拉链撞色装饰中长款3M脱卸式棉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 descr="K23X00500000卡其枣红228T涤纶塔丝隆长拉链撞色装饰中长款3M脱卸式棉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r="55846" b="46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5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120-190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1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748C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:</w:t>
      </w:r>
    </w:p>
    <w:p w14:paraId="41CCADC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投标人根据“样品清单”提供对应样品，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样品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材质、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规格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数量应该和样品清单一致，样品上任何显示制造厂或投标人的标志、标记都必须用不透明的纸粘贴遮盖，否则将按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无效投标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处理。</w:t>
      </w:r>
    </w:p>
    <w:p w14:paraId="37F7A9C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出样款式可以参考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清单图片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款式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自行进行设计，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现场不能进行拍照或者录像。</w:t>
      </w:r>
    </w:p>
    <w:p w14:paraId="6EA7808D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招标现场不提供出样设备，各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出样衣架、衣托（也仅限衣架、衣托，不要带模特）自备，样品和展示设备不能出现本单位的任何信息。</w:t>
      </w:r>
    </w:p>
    <w:p w14:paraId="1E9C6BBB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）未提供样品或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样品不全的对应项不得分。</w:t>
      </w:r>
    </w:p>
    <w:p w14:paraId="4B4632B8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样品制作及运输费用由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自行承担。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单位的样品不予退回，由采购人封存作为最终验收的依据。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未中标的单位将样品当天自行带回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28198B34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）送样时间:202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日上午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:30至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:00截止，逾期不再接受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682FBFBF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送样地点: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江苏省常州市天宁区锦绣路锦绣东苑29幢4楼401号样品室(常州市政务服务中心对面)。</w:t>
      </w:r>
    </w:p>
    <w:p w14:paraId="5BAEB130">
      <w:pPr>
        <w:pStyle w:val="2"/>
        <w:pageBreakBefore w:val="0"/>
        <w:kinsoku/>
        <w:wordWrap/>
        <w:topLinePunct w:val="0"/>
        <w:bidi w:val="0"/>
        <w:adjustRightInd w:val="0"/>
        <w:snapToGrid w:val="0"/>
        <w:spacing w:before="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  <w:bookmarkStart w:id="31" w:name="_GoBack"/>
      <w:bookmarkEnd w:id="31"/>
    </w:p>
    <w:p w14:paraId="030B9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1.采购人信息</w:t>
      </w:r>
    </w:p>
    <w:p w14:paraId="05867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27" w:name="_Toc28359009"/>
      <w:bookmarkStart w:id="28" w:name="_Toc28359086"/>
      <w:r>
        <w:rPr>
          <w:rFonts w:hint="eastAsia" w:ascii="宋体" w:hAnsi="宋体" w:eastAsia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常州市新北区三井第二实验小学</w:t>
      </w:r>
    </w:p>
    <w:p w14:paraId="23E95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地址:常州市新北区黎河路68号</w:t>
      </w:r>
    </w:p>
    <w:p w14:paraId="1488A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联系人:严老师</w:t>
      </w:r>
    </w:p>
    <w:p w14:paraId="474E5C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联系方式:18694959898</w:t>
      </w:r>
    </w:p>
    <w:p w14:paraId="79A04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2.采购代理机构信息</w:t>
      </w:r>
      <w:bookmarkEnd w:id="27"/>
      <w:bookmarkEnd w:id="28"/>
    </w:p>
    <w:p w14:paraId="42F21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29" w:name="_Toc28359087"/>
      <w:bookmarkStart w:id="30" w:name="_Toc28359010"/>
      <w:r>
        <w:rPr>
          <w:rFonts w:hint="eastAsia" w:ascii="宋体" w:hAnsi="宋体" w:eastAsia="宋体" w:cs="宋体"/>
          <w:color w:val="auto"/>
          <w:sz w:val="24"/>
          <w:highlight w:val="none"/>
        </w:rPr>
        <w:t>名称:常州中金招投标有限公司</w:t>
      </w:r>
    </w:p>
    <w:p w14:paraId="4D363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江苏省常州市天宁区锦绣路锦绣东苑29幢4楼401号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(常州市政务服务中心对面)</w:t>
      </w:r>
    </w:p>
    <w:p w14:paraId="4DD9A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女士、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女士</w:t>
      </w:r>
    </w:p>
    <w:p w14:paraId="4C644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联系电话:0519-85958666</w:t>
      </w:r>
    </w:p>
    <w:p w14:paraId="7BA14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3.项目联系方式</w:t>
      </w:r>
      <w:bookmarkEnd w:id="29"/>
      <w:bookmarkEnd w:id="30"/>
    </w:p>
    <w:p w14:paraId="2368850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联系人: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女士</w:t>
      </w:r>
    </w:p>
    <w:p w14:paraId="26FB3D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联系电话:0519-85958666</w:t>
      </w:r>
    </w:p>
    <w:p w14:paraId="1AA30C5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3553"/>
    <w:rsid w:val="0B364B12"/>
    <w:rsid w:val="1224475E"/>
    <w:rsid w:val="23C52923"/>
    <w:rsid w:val="27F915BD"/>
    <w:rsid w:val="2969172B"/>
    <w:rsid w:val="2ADA15A5"/>
    <w:rsid w:val="2F6431CF"/>
    <w:rsid w:val="31866638"/>
    <w:rsid w:val="3A674B2B"/>
    <w:rsid w:val="40560DFC"/>
    <w:rsid w:val="4DA46DB9"/>
    <w:rsid w:val="54377C15"/>
    <w:rsid w:val="570519B2"/>
    <w:rsid w:val="576651D9"/>
    <w:rsid w:val="58693C4E"/>
    <w:rsid w:val="5E833C06"/>
    <w:rsid w:val="74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styleId="7">
    <w:name w:val="page number"/>
    <w:qFormat/>
    <w:uiPriority w:val="0"/>
  </w:style>
  <w:style w:type="character" w:customStyle="1" w:styleId="8">
    <w:name w:val="font3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2237</Words>
  <Characters>2543</Characters>
  <Lines>0</Lines>
  <Paragraphs>0</Paragraphs>
  <TotalTime>0</TotalTime>
  <ScaleCrop>false</ScaleCrop>
  <LinksUpToDate>false</LinksUpToDate>
  <CharactersWithSpaces>2551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2023-07-03T03:32:00Z</dcterms:created>
  <dc:creator>C12</dc:creator>
  <cp:lastModifiedBy>小倪</cp:lastModifiedBy>
  <dcterms:modified xsi:type="dcterms:W3CDTF">2024-12-18T09:56:34Z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B17C5D899516401ABD05815311960D7B_12</vt:lpwstr>
  </property>
</Properties>
</file>