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25E7A">
      <w:pPr>
        <w:ind w:firstLine="560" w:firstLineChars="20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203835</wp:posOffset>
                </wp:positionV>
                <wp:extent cx="352425" cy="0"/>
                <wp:effectExtent l="0" t="0" r="0" b="0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168.75pt;margin-top:16.05pt;height:0pt;width:27.75pt;z-index:251659264;mso-width-relative:page;mso-height-relative:page;" filled="f" stroked="t" coordsize="21600,21600" o:gfxdata="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R4gir1wAAAAkBAAAPAAAAAAAAAAEAIAAAACIAAABkcnMvZG93bnJldi54bWxQSwECFAAU&#10;AAAACACHTuJAXQ34R/IBAADiAwAADgAAAAAAAAABACAAAAAm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</w:rPr>
        <w:t>薛家实验小学  202</w:t>
      </w:r>
      <w:r>
        <w:rPr>
          <w:rFonts w:hint="eastAsia"/>
          <w:sz w:val="28"/>
          <w:lang w:val="en-US" w:eastAsia="zh-CN"/>
        </w:rPr>
        <w:t>4</w:t>
      </w:r>
      <w:r>
        <w:rPr>
          <w:rFonts w:hint="eastAsia"/>
          <w:sz w:val="28"/>
        </w:rPr>
        <w:t xml:space="preserve">       202</w:t>
      </w:r>
      <w:r>
        <w:rPr>
          <w:rFonts w:hint="eastAsia"/>
          <w:sz w:val="28"/>
          <w:lang w:val="en-US" w:eastAsia="zh-CN"/>
        </w:rPr>
        <w:t>5</w:t>
      </w:r>
      <w:bookmarkStart w:id="0" w:name="_GoBack"/>
      <w:bookmarkEnd w:id="0"/>
      <w:r>
        <w:rPr>
          <w:rFonts w:hint="eastAsia"/>
          <w:sz w:val="28"/>
        </w:rPr>
        <w:t>学年度第 一 学期集体备课记录表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400"/>
        <w:gridCol w:w="1477"/>
        <w:gridCol w:w="1833"/>
        <w:gridCol w:w="2096"/>
        <w:gridCol w:w="1986"/>
      </w:tblGrid>
      <w:tr w14:paraId="3E23C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26" w:type="dxa"/>
            <w:vAlign w:val="center"/>
          </w:tcPr>
          <w:p w14:paraId="79377358"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年级</w:t>
            </w:r>
          </w:p>
        </w:tc>
        <w:tc>
          <w:tcPr>
            <w:tcW w:w="1417" w:type="dxa"/>
            <w:vAlign w:val="center"/>
          </w:tcPr>
          <w:p w14:paraId="0655C9C2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139D294"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学科</w:t>
            </w:r>
          </w:p>
        </w:tc>
        <w:tc>
          <w:tcPr>
            <w:tcW w:w="1701" w:type="dxa"/>
            <w:vAlign w:val="center"/>
          </w:tcPr>
          <w:p w14:paraId="4468782A">
            <w:pPr>
              <w:jc w:val="center"/>
              <w:rPr>
                <w:rFonts w:hint="eastAsia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音乐</w:t>
            </w:r>
          </w:p>
        </w:tc>
        <w:tc>
          <w:tcPr>
            <w:tcW w:w="1701" w:type="dxa"/>
            <w:vAlign w:val="center"/>
          </w:tcPr>
          <w:p w14:paraId="4A981E7C"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备课组长</w:t>
            </w:r>
          </w:p>
        </w:tc>
        <w:tc>
          <w:tcPr>
            <w:tcW w:w="1843" w:type="dxa"/>
            <w:vAlign w:val="center"/>
          </w:tcPr>
          <w:p w14:paraId="7F146A3B"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曹植晟 陆秋敏</w:t>
            </w:r>
          </w:p>
        </w:tc>
      </w:tr>
      <w:tr w14:paraId="366D0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26" w:type="dxa"/>
            <w:vAlign w:val="center"/>
          </w:tcPr>
          <w:p w14:paraId="30D686C8"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研讨时间</w:t>
            </w:r>
          </w:p>
        </w:tc>
        <w:tc>
          <w:tcPr>
            <w:tcW w:w="4394" w:type="dxa"/>
            <w:gridSpan w:val="3"/>
            <w:vAlign w:val="bottom"/>
          </w:tcPr>
          <w:p w14:paraId="366DFF5A"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  <w:u w:val="single"/>
              </w:rPr>
              <w:t xml:space="preserve"> </w:t>
            </w:r>
            <w:r>
              <w:rPr>
                <w:rFonts w:hint="eastAsia"/>
                <w:sz w:val="24"/>
                <w:szCs w:val="28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 xml:space="preserve"> 月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4"/>
                <w:szCs w:val="28"/>
                <w:u w:val="single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</w:t>
            </w:r>
            <w:r>
              <w:rPr>
                <w:rFonts w:hint="eastAsia"/>
                <w:sz w:val="24"/>
                <w:szCs w:val="28"/>
              </w:rPr>
              <w:t>日  星期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四 </w:t>
            </w:r>
            <w:r>
              <w:rPr>
                <w:rFonts w:hint="eastAsia"/>
                <w:sz w:val="24"/>
                <w:szCs w:val="28"/>
              </w:rPr>
              <w:t xml:space="preserve"> （第</w:t>
            </w:r>
            <w:r>
              <w:rPr>
                <w:rFonts w:hint="eastAsia"/>
                <w:sz w:val="24"/>
                <w:szCs w:val="28"/>
                <w:u w:val="single"/>
              </w:rPr>
              <w:t xml:space="preserve">  二 </w:t>
            </w:r>
            <w:r>
              <w:rPr>
                <w:rFonts w:hint="eastAsia"/>
                <w:sz w:val="24"/>
                <w:szCs w:val="28"/>
              </w:rPr>
              <w:t>周）</w:t>
            </w:r>
          </w:p>
        </w:tc>
        <w:tc>
          <w:tcPr>
            <w:tcW w:w="1701" w:type="dxa"/>
            <w:vAlign w:val="center"/>
          </w:tcPr>
          <w:p w14:paraId="2AD5E653">
            <w:pPr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备课地点</w:t>
            </w:r>
          </w:p>
        </w:tc>
        <w:tc>
          <w:tcPr>
            <w:tcW w:w="1843" w:type="dxa"/>
            <w:vAlign w:val="center"/>
          </w:tcPr>
          <w:p w14:paraId="67F35A9D"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丽园会议室</w:t>
            </w:r>
          </w:p>
        </w:tc>
      </w:tr>
      <w:tr w14:paraId="0DB4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526" w:type="dxa"/>
          </w:tcPr>
          <w:p w14:paraId="64075C4B">
            <w:pPr>
              <w:ind w:firstLine="240" w:firstLineChars="10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参与老师</w:t>
            </w:r>
          </w:p>
        </w:tc>
        <w:tc>
          <w:tcPr>
            <w:tcW w:w="4394" w:type="dxa"/>
            <w:gridSpan w:val="3"/>
          </w:tcPr>
          <w:p w14:paraId="397E807F"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</w:rPr>
              <w:t>全体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>综合组教师</w:t>
            </w:r>
          </w:p>
        </w:tc>
        <w:tc>
          <w:tcPr>
            <w:tcW w:w="1701" w:type="dxa"/>
          </w:tcPr>
          <w:p w14:paraId="1DA1C6AC">
            <w:pPr>
              <w:ind w:firstLine="360" w:firstLineChars="15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缺席情况</w:t>
            </w:r>
          </w:p>
        </w:tc>
        <w:tc>
          <w:tcPr>
            <w:tcW w:w="1843" w:type="dxa"/>
          </w:tcPr>
          <w:p w14:paraId="7F035231">
            <w:pPr>
              <w:jc w:val="center"/>
              <w:rPr>
                <w:sz w:val="24"/>
                <w:szCs w:val="28"/>
              </w:rPr>
            </w:pPr>
          </w:p>
        </w:tc>
      </w:tr>
      <w:tr w14:paraId="1B24A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526" w:type="dxa"/>
            <w:vAlign w:val="center"/>
          </w:tcPr>
          <w:p w14:paraId="6162B49F">
            <w:pPr>
              <w:jc w:val="center"/>
            </w:pPr>
            <w:r>
              <w:rPr>
                <w:rFonts w:hint="eastAsia"/>
              </w:rPr>
              <w:t>研讨主题</w:t>
            </w:r>
          </w:p>
        </w:tc>
        <w:tc>
          <w:tcPr>
            <w:tcW w:w="4394" w:type="dxa"/>
            <w:gridSpan w:val="3"/>
            <w:vAlign w:val="center"/>
          </w:tcPr>
          <w:p w14:paraId="47FCD770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聚焦新课标 教学有方向</w:t>
            </w:r>
          </w:p>
        </w:tc>
        <w:tc>
          <w:tcPr>
            <w:tcW w:w="1701" w:type="dxa"/>
            <w:vAlign w:val="center"/>
          </w:tcPr>
          <w:p w14:paraId="7BE84B85">
            <w:pPr>
              <w:jc w:val="center"/>
            </w:pPr>
            <w:r>
              <w:rPr>
                <w:rFonts w:hint="eastAsia"/>
              </w:rPr>
              <w:t>主讲人</w:t>
            </w:r>
          </w:p>
        </w:tc>
        <w:tc>
          <w:tcPr>
            <w:tcW w:w="1843" w:type="dxa"/>
            <w:vAlign w:val="center"/>
          </w:tcPr>
          <w:p w14:paraId="205BF86B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姚明珠</w:t>
            </w:r>
          </w:p>
        </w:tc>
      </w:tr>
      <w:tr w14:paraId="29390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B074EFC"/>
        </w:tc>
        <w:tc>
          <w:tcPr>
            <w:tcW w:w="7938" w:type="dxa"/>
            <w:gridSpan w:val="5"/>
          </w:tcPr>
          <w:p w14:paraId="57DEE722">
            <w:pPr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活动主要内容：</w:t>
            </w:r>
          </w:p>
          <w:p w14:paraId="5B5FA362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一、新课标理念学习</w:t>
            </w:r>
          </w:p>
          <w:p w14:paraId="32BD7B4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80" w:lineRule="auto"/>
              <w:ind w:left="120" w:right="120" w:firstLine="0"/>
              <w:jc w:val="center"/>
              <w:rPr>
                <w:rFonts w:ascii="Arial" w:hAnsi="Arial" w:eastAsia="Arial" w:cs="Arial"/>
                <w:spacing w:val="8"/>
                <w:sz w:val="24"/>
                <w:szCs w:val="24"/>
              </w:rPr>
            </w:pPr>
            <w:r>
              <w:rPr>
                <w:rStyle w:val="9"/>
                <w:rFonts w:hint="eastAsia" w:ascii="PingFangSC-Light" w:hAnsi="PingFangSC-Light" w:cs="PingFangSC-Light"/>
                <w:b/>
                <w:color w:val="006F54"/>
                <w:spacing w:val="23"/>
                <w:sz w:val="30"/>
                <w:szCs w:val="30"/>
                <w:shd w:val="clear" w:fill="FFFFFF"/>
                <w:lang w:val="en-US" w:eastAsia="zh-CN"/>
              </w:rPr>
              <w:t>1、</w:t>
            </w:r>
            <w:r>
              <w:rPr>
                <w:rStyle w:val="9"/>
                <w:rFonts w:ascii="PingFangSC-Light" w:hAnsi="PingFangSC-Light" w:eastAsia="PingFangSC-Light" w:cs="PingFangSC-Light"/>
                <w:b/>
                <w:color w:val="006F54"/>
                <w:spacing w:val="23"/>
                <w:sz w:val="30"/>
                <w:szCs w:val="30"/>
                <w:shd w:val="clear" w:fill="FFFFFF"/>
              </w:rPr>
              <w:t>风向标，在更大的坐标中眺望教学价值</w:t>
            </w:r>
          </w:p>
          <w:p w14:paraId="7F5E38ED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新课标的发布，让每个教育人触摸到“立德树人”的风向标，触摸到了学科育人的智慧导向。那么在国家颁布的文件、标准和要求的当下，我们是等风来还是追风去？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毫无疑问，要追风而去，在国家的“天气”和我们的“地气”之间架接“天线”。关于时代新人的培育，我们要融入学科育人的顶层设计中，把民族复兴的大任融入教学实践当中。这个过程里，教师的素养决定着学科育人的效度。每个人都要入场，思考到底学什么，怎么学，为什么学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我们教师和家长都喜欢问孩子：今天你学了什么知识？这背后是学什么的逻辑。也总是听犹太人问孩子：你今天提出了什么好问题？这背后的逻辑是怎么学。显然，好问才是好学的第一要素，是质疑既有知识，探求未知的起点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那么，为什么学呢？是育才还是育人？其实两者并不违背，育才时，重心放在他的创造力、分析力和领导力上；育人时，我们观照孩子的世界观、人生观、价值观。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160770" cy="3462655"/>
                  <wp:effectExtent l="0" t="0" r="11430" b="4445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70" cy="346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lang w:val="en-US" w:eastAsia="zh-CN" w:bidi="ar"/>
              </w:rPr>
              <w:t>教学的“为人性”和“人为性”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既然入场了，在场了，教师就要清楚自己在干什么，也就是教学的“为人性”和“人为性”。“为人性”指教学人之为人，秉持儿童为本，以素养为导向，以实践为手段，利用有限的课堂教学及课后服务时间设计与组织教学活动，实现教学意义。“人为性”指在教学内容的选择、学习方式的变革以及教学评价的改革中摆脱知识符号的限制，完成对知识获得的思考与反省,实现知识意义的生成。所以在场学习，学生更多是激活、理解以及连接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知道了“在场”的含义，就要去观照教学的知识意义，在心理意义和生活意义、社会意义中关注学生的生存现实，创造课堂的新境界、新意义。也就是说，学科核心素养它一头连着国家标准，一头连着成长需要。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有了在场，还要出场。在把学科素养融入学习过程时，老师需从课程细解到内容脉络，到学生的风格指向，再到单元目标，包括知识意义的目标、概念理解的目标、迁移运用的目标，最后走向学习过程，涵盖核心任务设计，学科工具的研发，以及素养导向的评价等。</w:t>
            </w:r>
          </w:p>
          <w:p w14:paraId="6FB310A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drawing>
                <wp:inline distT="0" distB="0" distL="114300" distR="114300">
                  <wp:extent cx="5563870" cy="3148330"/>
                  <wp:effectExtent l="0" t="0" r="17780" b="13970"/>
                  <wp:docPr id="1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70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2E60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lang w:val="en-US" w:eastAsia="zh-CN" w:bidi="ar"/>
              </w:rPr>
              <w:t>学科素养融入学习过程</w:t>
            </w: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我们把国家课程标准转化成每个学科的期待和要求，研制出一种通俗易懂的方式。比如语文的要求是“一手好字，一篇好作文，一副好口才，一生好积累”。比如综合实践的要求是“问题的解决、工具的思维、创造的能力以及协作能力”等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梳理好每个学科，教师心中就有了“纲”，再进行贯通，并提出两个维度。一个维度是三个“全”，即全科阅读、全科思维、全科习惯；一个维度是抓住学习的基本要素，即逻辑、理解、表达和精细动作，每个要素都会影响每个学科的学业质量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抓住了“纲”，紧接着深入实践。比如学习“三角形的内角和”，在学习研究单的设计上，我们通过选一选、分一分、看一看、做一做、想一想，给学生提供线索，让孩子自主探究。不仅提供线索，还呈现出一种学习方式的设计，蕴含了学习共同体的建设，帮助孩子们在参与中激活能量。同时，将学习目标设计在基础阶段和拓展阶段——基础阶段的目标考察学生是课前、课中，还是课后获得的能力，而在推进中，教师还要观察学生拓展出了哪些目标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12665" cy="2718435"/>
                  <wp:effectExtent l="0" t="0" r="6985" b="5715"/>
                  <wp:docPr id="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65" cy="271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 w14:paraId="387F3C8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rPr>
                <w:rFonts w:hint="default" w:ascii="PingFangSC-Light" w:hAnsi="PingFangSC-Light" w:eastAsia="PingFangSC-Light" w:cs="PingFangSC-Light"/>
                <w:color w:val="04652B"/>
                <w:spacing w:val="23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lang w:val="en-US" w:eastAsia="zh-CN" w:bidi="ar"/>
              </w:rPr>
              <w:t>学生的学习场</w:t>
            </w: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这样一来，孩子有了目标导向，他们所在的学习场形成一种结构化的影响力——通过知、情、思、创、行，达到场的效应，激发孩子们更多的思维模块，形成相似结构。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PingFangSC-Light" w:hAnsi="PingFangSC-Light" w:eastAsia="PingFangSC-Light" w:cs="PingFangSC-Light"/>
                <w:color w:val="04652B"/>
                <w:spacing w:val="23"/>
                <w:kern w:val="0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743835" cy="355600"/>
                  <wp:effectExtent l="0" t="0" r="18415" b="6350"/>
                  <wp:docPr id="5" name="图片 4" descr="2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2图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F57C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Style w:val="9"/>
                <w:rFonts w:hint="default" w:ascii="PingFangSC-Light" w:hAnsi="PingFangSC-Light" w:eastAsia="PingFangSC-Light" w:cs="PingFangSC-Light"/>
                <w:spacing w:val="23"/>
                <w:kern w:val="0"/>
                <w:sz w:val="24"/>
                <w:szCs w:val="24"/>
                <w:lang w:val="en-US" w:eastAsia="zh-CN" w:bidi="ar"/>
              </w:rPr>
              <w:t>成长盘，在更高的攀登中确定教学目标</w:t>
            </w:r>
          </w:p>
          <w:p w14:paraId="735CD2D7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 w14:paraId="3AB259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</w:rPr>
              <w:t>望远镜：课程标准与育人目标相结合</w:t>
            </w:r>
          </w:p>
          <w:p w14:paraId="670F5EC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 w14:paraId="1C03BCB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Style w:val="9"/>
                <w:rFonts w:ascii="宋体" w:hAnsi="宋体" w:eastAsia="宋体" w:cs="宋体"/>
                <w:color w:val="04704C"/>
                <w:kern w:val="0"/>
                <w:sz w:val="25"/>
                <w:szCs w:val="25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如何把科学精神、人文素养、实践创新、学会学习等宏大的目标，跟日常每一个学科的课时目标做更好的关联呢？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396865" cy="3033395"/>
                  <wp:effectExtent l="0" t="0" r="13335" b="14605"/>
                  <wp:docPr id="1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303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73A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</w:rPr>
              <w:t>望远镜：课程标准与育人目标相结合</w:t>
            </w:r>
          </w:p>
          <w:p w14:paraId="233A8B8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/>
            </w:pPr>
          </w:p>
          <w:p w14:paraId="53138B27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第一，可以借助OECD发布的《学习罗盘2030》设计学科的学习罗盘。例如我们设计的“做数学”学习罗盘，以数学精神、思维方式、关键能力以及数学情感作为指针，把“做数学”作为载体，让孩子们在做的时空、做的效果、做的方式、做的内容中形成行动路径，把学科目标和育人目标融为一体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第二，可以梳理学科育人的坐标轴。横轴包括动手操作、具身体验、数学实验、综合实践四个数学学科思想；竖轴包括数学的情感、眼光、思维、语言。横向成列按照年段递进，纵向成序按照要素进阶，最终形成低、中、高的育人目标。在每一个要素中，老师清楚了方向，也就有了抓手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还是以数学学科为例，我们在此基础上，梳理了数学核心知识的图谱，让教师抓住相应的大概念进行实践，还提炼出基本路径：</w:t>
            </w:r>
          </w:p>
          <w:p w14:paraId="1CD78B2E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学科核心知识的界定、筛选与体系建构</w:t>
            </w:r>
          </w:p>
          <w:p w14:paraId="27333958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核心知识链及其起点、节点和拐点在各学段的呈现顺序和形式</w:t>
            </w:r>
          </w:p>
          <w:p w14:paraId="4F15330B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教学内容简化与重组，非核心知识点与核心知识点的联系</w:t>
            </w:r>
          </w:p>
          <w:p w14:paraId="568B4F8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核心知识教学要求、原则、策略和方法</w:t>
            </w:r>
          </w:p>
          <w:p w14:paraId="07849312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学科核心知识与关键能力有机结合</w:t>
            </w:r>
          </w:p>
          <w:p w14:paraId="59182937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核心知识教与学的一致性、中小学核心知识教学衔接的一致性</w:t>
            </w:r>
          </w:p>
          <w:p w14:paraId="05D62552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</w:pPr>
            <w:r>
              <w:rPr>
                <w:color w:val="565656"/>
              </w:rPr>
              <w:t>素养导向的教学评一致性</w:t>
            </w:r>
          </w:p>
          <w:p w14:paraId="58A0A271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然后定制出“学科关键能力发展循环圈”，把学习的共同体、探究的探究泵、情感的体验场、实践的工具箱都打开，设计跟孩子智力背景、认知方式、学习风格相匹配的支持体系，促进孩子形成学科的独特气质。</w:t>
            </w:r>
          </w:p>
          <w:p w14:paraId="627053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120" w:right="120"/>
              <w:rPr>
                <w:sz w:val="24"/>
                <w:szCs w:val="24"/>
              </w:rPr>
            </w:pPr>
          </w:p>
          <w:p w14:paraId="038427BF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 w14:paraId="5EFD1C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</w:rPr>
              <w:t>方向盘：单元目标与学习系统相贯通</w:t>
            </w:r>
          </w:p>
          <w:p w14:paraId="35CF1DC1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 w14:paraId="68A5A4C6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Style w:val="9"/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崔允漷教授在《如何依据核心素养开展单元设计》中明确提到，“一个单元就是一个指向素养的、相对独立的、体现完整教学过程的课程细胞。”所以要把握这个细胞的关键、结构和核心，建构相应的学习群。以主题任务为载体，通过情境，内容方式，资源的整合形成知识系统、方法系统和思维系统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比如部编版语文一（上）大单元设计，我们把原来单篇的教学变成一个整体的大单元，通过情境（主题）任务，让孩子在一定的情境之下展开，同时归类分成相应的活动单元、经验单元、项目单元、主题单元等，这样整个单元就具备了贯通性和联动性，使孩子把住方向盘行走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此外，我们还为孩子设计了一辆“学习自行车”。“学习自行车”让儿童在目标、方向、速度、工具、资源等引领支持下，形成学习共同体，在双轮驱动下，通过单元学习的再设计将课程目标细化，落实到可感、可实践的学与教的过程中，促进儿童的自我建构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246370" cy="2987675"/>
                  <wp:effectExtent l="0" t="0" r="11430" b="3175"/>
                  <wp:docPr id="7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7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173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</w:rPr>
              <w:t>方向盘：单元目标与学习系统相贯通</w:t>
            </w:r>
          </w:p>
          <w:p w14:paraId="2DFA105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1904C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120" w:right="120"/>
              <w:rPr>
                <w:sz w:val="24"/>
                <w:szCs w:val="24"/>
              </w:rPr>
            </w:pPr>
          </w:p>
          <w:p w14:paraId="6497A1BB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 w14:paraId="02FFFF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</w:rPr>
              <w:t>指南针：学科目标与认知风格相关照</w:t>
            </w:r>
          </w:p>
          <w:p w14:paraId="6CE5D7D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242" w:right="0" w:hanging="360"/>
            </w:pPr>
          </w:p>
          <w:p w14:paraId="7D6B1FD0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不过这辆“自行车”是不是匹配每一个孩子呢？于是我们设计了“指南针”，把学科目标和认知风格关联，促进教学实施一致性。所以，从教到学，需要基于学科目标的需要，关照“儿童认知风格”，更好地构建学习环境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503545" cy="3088005"/>
                  <wp:effectExtent l="0" t="0" r="1905" b="17145"/>
                  <wp:docPr id="6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545" cy="308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7AD8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</w:rPr>
              <w:t>指南针：学科目标与认知风格相关照</w:t>
            </w:r>
          </w:p>
          <w:p w14:paraId="4118B837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在整体设计过程中，我们设计了前学单、合学单、评价单，在教学目标层下进行实践，以此促进学科育人。虽然，正确的学习方式有很多风格，有的可能是听觉，有的是动觉，有的是视觉，有的是读写型，但我们可以总结成一种，那就是——按照记忆曲线间隔学+不同场景用不同方式学同一个内容变换学+自我测试提取反馈学+新旧连接建构学=高成效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我们希望高成效的学习匹配每个孩子，让他们自我建构适切的学习风格。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294630" cy="686435"/>
                  <wp:effectExtent l="0" t="0" r="1270" b="18415"/>
                  <wp:docPr id="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63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006F54"/>
                <w:spacing w:val="23"/>
                <w:sz w:val="30"/>
                <w:szCs w:val="30"/>
                <w:shd w:val="clear" w:fill="FFFFFF"/>
              </w:rPr>
              <w:t>罗马路，在更宽的行走中探索普适路径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罗马路，指在更宽的行走中探索普适的价值。这要求我们给儿童配制“万向型”自我导航钥匙，以“做中学”为指导，突出实践活动经验积累，学生创新意识和探究能力，从适配的过程中撬动课堂学与教的转型，促使核心素养的落地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我们通过定制气质、定制方式、定制学习，促进学生情境脉络的学习，实践共同体的学习。</w:t>
            </w:r>
          </w:p>
          <w:p w14:paraId="2880CF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</w:rPr>
              <w:t>定制气质：建构“身心灵合一”的学科表达</w:t>
            </w:r>
          </w:p>
          <w:p w14:paraId="5A64026B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一句简单的学科宣言，一个学科追求的表达，蕴含的是育人价值。我们要求每个学科都要谱写纲领性的、共时性的、简明的学科“宣言”，形成学科名片表达。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学科名片，就是教师群体的专业信念，它引导教师专业的发展，引导课程结构的调整、教学方式的变革、学生成才方式的拓展。比如我们有自然英语——与学生在自然生态的英语国度里，自由、自在、自主地表达；有思维张力的语文，让学生有逻辑地思考、会系统地学习、能清晰地表达。那么学习效度如何呢？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978400" cy="2807335"/>
                  <wp:effectExtent l="0" t="0" r="12700" b="12065"/>
                  <wp:docPr id="10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280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073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</w:rPr>
              <w:t>学习的甜蜜点</w:t>
            </w:r>
          </w:p>
          <w:p w14:paraId="58DC296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</w:p>
          <w:p w14:paraId="5A6612F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有一个数据叫15.87%，是熟悉（旧知）和意外（新知）的比值，我们称之为“学习的甜蜜度”。学习的建构过程分为舒适区、学习区、恐慌区，我们需要在学习的焦虑和无聊中找到孩子的心流，达成“熟悉+意外=喜欢”，开启学生的学习兴趣。</w:t>
            </w:r>
          </w:p>
          <w:p w14:paraId="6474795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120" w:right="120"/>
              <w:rPr>
                <w:sz w:val="24"/>
                <w:szCs w:val="24"/>
              </w:rPr>
            </w:pPr>
          </w:p>
          <w:p w14:paraId="5AD939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right="120"/>
            </w:pPr>
            <w:r>
              <w:rPr>
                <w:rStyle w:val="9"/>
                <w:b/>
                <w:color w:val="04704C"/>
                <w:sz w:val="25"/>
                <w:szCs w:val="25"/>
              </w:rPr>
              <w:t>定制方式：形成“做学玩一体”的学习范式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我们提供学习资源圈供给、学伴共同体组织、自适应学习建构、多线并联式机制，形成“四单式链条”“四部曲成体”的学习范式。以“车轮为什么是圆的”这个学习主题为例，我们通过猜测假设、操作实验、合作探究、互动交流，建构了一个“应有尽有”的数学空间，一个“无处不在”的数学平台，让孩子们经历“一个圆的世界”构造，跟生活连接。</w:t>
            </w:r>
          </w:p>
          <w:p w14:paraId="5BF576D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242" w:right="120" w:firstLine="0"/>
              <w:rPr>
                <w:sz w:val="24"/>
                <w:szCs w:val="24"/>
              </w:rPr>
            </w:pPr>
            <w:r>
              <w:rPr>
                <w:rStyle w:val="9"/>
                <w:b/>
                <w:color w:val="04704C"/>
                <w:sz w:val="25"/>
                <w:szCs w:val="25"/>
              </w:rPr>
              <w:t>定制效度：完善“学用评一致”的学习链条</w:t>
            </w:r>
          </w:p>
          <w:p w14:paraId="21DFBE3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我们还建立了自适应学习群落，以体验式、情境式、发现式、项目式的学习方式完善“学用评”一致的学习链条，带领孩子感受“我爱学、我在学、我会学、我全学、我能用、我能学”。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130165" cy="2687955"/>
                  <wp:effectExtent l="0" t="0" r="13335" b="17145"/>
                  <wp:docPr id="1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5" cy="268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A7282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</w:pPr>
            <w:r>
              <w:rPr>
                <w:rFonts w:ascii="宋体" w:hAnsi="宋体" w:eastAsia="宋体" w:cs="宋体"/>
                <w:color w:val="888888"/>
                <w:kern w:val="0"/>
                <w:sz w:val="24"/>
                <w:szCs w:val="24"/>
                <w:lang w:val="en-US" w:eastAsia="zh-CN" w:bidi="ar"/>
              </w:rPr>
              <w:t>完善“学用评”一致的学习链条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最后设计评价目标制定策略，评估学生的知识掌握程度。而评价目标制定策略的背后，是“学习目标”对“拆解法”和“思维进阶”对“达成法”的支撑。</w:t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例如，“圆的世界”的评价目标可从评价指向、评价内容、评价类型中形成评价效应，再去定制效度，建构能量手册、个性导单、场景地图，让评价跟生活关联，与孩子交往关联。这样，素养评价就有了更好的载体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color w:val="565656"/>
                <w:kern w:val="0"/>
                <w:sz w:val="24"/>
                <w:szCs w:val="24"/>
                <w:lang w:val="en-US" w:eastAsia="zh-CN" w:bidi="ar"/>
              </w:rPr>
              <w:t>综上，从教到学我们要抓住5个要素：</w:t>
            </w:r>
          </w:p>
          <w:p w14:paraId="1A205FC3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</w:rPr>
              <w:t>轨迹制造，学与教的过程就是师生共同“造场”的过程；</w:t>
            </w:r>
          </w:p>
          <w:p w14:paraId="7D476F8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</w:rPr>
              <w:t>核心抓手，基于认知建构儿童在场学习，实现不同的发展；</w:t>
            </w:r>
          </w:p>
          <w:p w14:paraId="33F37D7E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</w:rPr>
              <w:t>三圈交融，内圈是大脑、中圈是课程、外圈是生活情境；</w:t>
            </w:r>
          </w:p>
          <w:p w14:paraId="1DC3FECA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</w:rPr>
              <w:t>运动循环，学习在“知、情、思、创、行”五个场里循环运动；</w:t>
            </w:r>
          </w:p>
          <w:p w14:paraId="1BBEA50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80" w:lineRule="auto"/>
              <w:ind w:left="0" w:right="0" w:hanging="360"/>
              <w:rPr>
                <w:sz w:val="24"/>
                <w:szCs w:val="24"/>
              </w:rPr>
            </w:pPr>
            <w:r>
              <w:rPr>
                <w:color w:val="565656"/>
                <w:sz w:val="24"/>
                <w:szCs w:val="24"/>
              </w:rPr>
              <w:t>思维流淌，形成动态思维，而不是静态叠加。</w:t>
            </w:r>
          </w:p>
          <w:p w14:paraId="35711A69">
            <w:pPr>
              <w:pStyle w:val="5"/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15" w:lineRule="atLeast"/>
              <w:ind w:left="120" w:right="120" w:firstLine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  <w:lang w:val="en-US" w:eastAsia="zh-CN"/>
              </w:rPr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  <w:lang w:val="en-US" w:eastAsia="zh-CN"/>
              </w:rPr>
              <w:t>音乐课标学习</w:t>
            </w:r>
          </w:p>
          <w:p w14:paraId="1132D02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color w:val="FE3D4A"/>
              </w:rPr>
              <w:br w:type="textWrapping"/>
            </w:r>
            <w:r>
              <w:rPr>
                <w:rStyle w:val="9"/>
                <w:color w:val="FE3D4A"/>
                <w:sz w:val="24"/>
                <w:szCs w:val="24"/>
              </w:rPr>
              <w:t>● 解读一</w:t>
            </w:r>
          </w:p>
          <w:p w14:paraId="5FCEC60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</w:rPr>
              <w:t>“课程理念”的解读</w:t>
            </w:r>
          </w:p>
          <w:p w14:paraId="427084E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ascii="PingFangSC-Light" w:hAnsi="PingFangSC-Light" w:eastAsia="PingFangSC-Light" w:cs="PingFangSC-Light"/>
                <w:sz w:val="24"/>
                <w:szCs w:val="24"/>
              </w:rPr>
              <w:t>1.坚持以美育人</w:t>
            </w:r>
          </w:p>
          <w:p w14:paraId="352521E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以习近平新时代中国特色社会主义思想为指导，以落实核心素养为主线，引导学生积极参与各类艺术活动，感受美、欣赏美、表现美、创造美，丰富审美体验，学习和领会中华民族艺木精髓，增强中华民族自信心与自豪感，了解世界文化的多样性，开阔艺木视野。充分发挥艺术课程在培育学生审美和人文培养中的重要作用。</w:t>
            </w:r>
          </w:p>
          <w:p w14:paraId="73170FA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4B78D50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</w:rPr>
              <w:t>2. 重视艺术体验</w:t>
            </w:r>
          </w:p>
          <w:p w14:paraId="35C6DB6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重视学生在学习过程中的艺木感知及情感体验，激发学生参与艺木活动的兴趣和热情，使学生在欣赏、表现，创造、联系、融合的过程中，形成丰富、健康的审美情趣；强调艺术课程的实践导向，使学生在以艺术体验为核心的多样化实践中，提高艺木素养和创造能力。</w:t>
            </w:r>
          </w:p>
          <w:p w14:paraId="3637162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6C3F398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</w:rPr>
              <w:t>3. 突出课程综合</w:t>
            </w:r>
          </w:p>
          <w:p w14:paraId="4A609DB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以各艺木学科为主体，加强与其他艺术的融合，重视艺术与其他学科的联系，充分发挥协同育人功能，注重艺木与自然、生活、社会、科技的关联，汲取丰富的审美教育元素，传递人与自然和谐共生理念，促进学生身心健康全面发展。</w:t>
            </w:r>
          </w:p>
          <w:p w14:paraId="306EB02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 w14:paraId="619D95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5A8BD339">
            <w:pPr>
              <w:keepNext w:val="0"/>
              <w:keepLines w:val="0"/>
              <w:widowControl/>
              <w:suppressLineNumbers w:val="0"/>
              <w:jc w:val="left"/>
              <w:rPr>
                <w:sz w:val="24"/>
                <w:szCs w:val="24"/>
              </w:rPr>
            </w:pPr>
          </w:p>
          <w:p w14:paraId="14E667C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FE3D4A"/>
                <w:sz w:val="24"/>
                <w:szCs w:val="24"/>
              </w:rPr>
              <w:t>● 解读二</w:t>
            </w:r>
          </w:p>
          <w:p w14:paraId="55984D8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</w:rPr>
              <w:t>“设计思路”的解读</w:t>
            </w:r>
          </w:p>
          <w:p w14:paraId="2D098EF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</w:rPr>
              <w:t>1. 适应学生发展，分段设计课程</w:t>
            </w:r>
          </w:p>
          <w:p w14:paraId="06146E8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义务教育艺术课程分阶段设置：</w:t>
            </w:r>
          </w:p>
          <w:p w14:paraId="5A2209A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第一阶段</w:t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（1~2 年级〉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以艺术综合为主，体现从幼儿园综合活动到小学分科课程的过渡与街接；</w:t>
            </w:r>
          </w:p>
          <w:p w14:paraId="798ACF3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第二阶段</w:t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(3~7 年级）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以音乐和美术为主，有机融入姊妹艺木，为学生掌握较为全面的艺术基础知识和基本技能莫定基础；</w:t>
            </w:r>
          </w:p>
          <w:p w14:paraId="1C85BCB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第三阶段</w:t>
            </w: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(8~9年级）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开设艺术选项，帮助学生掌握1一2 项艺术特长，与高中模块化教学相衔接。</w:t>
            </w:r>
          </w:p>
          <w:p w14:paraId="4B33967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6A7B325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</w:rPr>
              <w:t>2. 聚焦核心素养，组织课程内容</w:t>
            </w:r>
          </w:p>
          <w:p w14:paraId="149EC79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聚焦审美感知、艺术表现、创意实践、文化理解等核心素养，围绕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欣赏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（欣赏 •评述)、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表现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 《造型 •表现)、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创造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（设计 • 应用）和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联系、融合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（综合 • 探索）4类艺术实践活动，以任务驱动的方式遴选和组织课程内容。</w:t>
            </w:r>
          </w:p>
          <w:p w14:paraId="291D02D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2B191FE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课程内容坚持以中华优秀传统文化为主体，讲好中国故事，吸收、借鉴人类文明优秀文化成果，追求精神高度、文化内涵、艺木价值相统一。</w:t>
            </w:r>
          </w:p>
          <w:p w14:paraId="7A4B846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3E20886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</w:rPr>
              <w:t>3. 体现艺术学习特点，优化评价机制</w:t>
            </w:r>
          </w:p>
          <w:p w14:paraId="0BD1206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围绕学生艺木学习实践性、体验性、创造性等特点，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将学生的课程学习与实践活动情况纳入学业评价。</w:t>
            </w:r>
          </w:p>
          <w:p w14:paraId="17CA32F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5EF669D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明确评价依据，改革创新评价的任务设计、题目命制、评价方式；</w:t>
            </w:r>
          </w:p>
          <w:p w14:paraId="787BFFF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3086F14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强调评价的统一要求，重视艺木学习的过程性、基础性考核与评价；</w:t>
            </w:r>
          </w:p>
          <w:p w14:paraId="0BED8BD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71DF340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尊重学生艺术学习的选择性，以学定考，</w:t>
            </w:r>
            <w:r>
              <w:rPr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根据学生的选择进行专项考核，体现教、学、评一致性。</w:t>
            </w:r>
          </w:p>
          <w:p w14:paraId="6D7B4D3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 w14:paraId="6C253BC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22342454">
            <w:pPr>
              <w:keepNext w:val="0"/>
              <w:keepLines w:val="0"/>
              <w:widowControl/>
              <w:suppressLineNumbers w:val="0"/>
              <w:jc w:val="left"/>
              <w:rPr>
                <w:sz w:val="24"/>
                <w:szCs w:val="24"/>
              </w:rPr>
            </w:pPr>
          </w:p>
          <w:p w14:paraId="39D6534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FE3D4A"/>
                <w:sz w:val="24"/>
                <w:szCs w:val="24"/>
              </w:rPr>
              <w:t>重点● 解读三</w:t>
            </w:r>
          </w:p>
          <w:p w14:paraId="2F133B2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</w:rPr>
              <w:t>“课程内容”的解读</w:t>
            </w:r>
          </w:p>
          <w:p w14:paraId="12A5ADE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音乐学科课程内容包括“欣赏”“表现”“创造”和“联系” 4类艺木实践，涵盖 14 项具体学习内容，分学段设置不同的学习任务，并将学习内容嵌人学习任务中。整体结构如图所示。</w:t>
            </w:r>
          </w:p>
          <w:p w14:paraId="7C7B76C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single" w:color="EEEDEB" w:sz="6" w:space="0"/>
                <w:shd w:val="clear" w:fill="EEEDEB"/>
              </w:rPr>
              <w:drawing>
                <wp:inline distT="0" distB="0" distL="114300" distR="114300">
                  <wp:extent cx="4867275" cy="3352800"/>
                  <wp:effectExtent l="0" t="0" r="9525" b="0"/>
                  <wp:docPr id="18" name="图片 1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94D8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通过 “欣赏”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，学生体验音乐的情绪与情感，了解音乐的表现要素、表现形式，感知、理解音乐的体裁与风格等，发展音乐听觉与感知能力，丰富音乐审美体验，深化音乐情感体验，提升审美感知和文化理解素养。</w:t>
            </w:r>
          </w:p>
          <w:p w14:paraId="69D0160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1B8F7D2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通过“表现”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，学生掌握声乐、器乐、综合性艺术表演所需的基础知识和基本技能，在艺术表现中表达思想和情感，丰富音乐活动经验，提开艺木表现素养。</w:t>
            </w:r>
          </w:p>
          <w:p w14:paraId="6C5E6A6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53D7FD4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通过“创造”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，学生对音乐及其他各种声音进行探索，综合运用所学知识、技能和创造性恩维，开展即兴表演和音乐编创活动，表达个人想法和创意，提升创意实践素养。</w:t>
            </w:r>
          </w:p>
          <w:p w14:paraId="7CD2887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431BE76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通过“联系”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，学生将音乐与社会生活、姊妹艺木及其他学科加以关联和融合，并在欣赏、表现和创造等实践中结合相关文化，理解音乐的人文内涵和社会功能，开阔文化视野，提升文化理解素养。</w:t>
            </w:r>
          </w:p>
          <w:p w14:paraId="1ABBAA4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5F3CCE6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根据不同学段学生的年龄特点：</w:t>
            </w:r>
          </w:p>
          <w:p w14:paraId="684AC41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1~2年级在唱游•音乐课程中设设置“趣味唱游”“聆听音乐”“情境表演，“发现身边的音乐”</w:t>
            </w:r>
            <w:r>
              <w:rPr>
                <w:rStyle w:val="9"/>
                <w:rFonts w:hint="default" w:ascii="PingFangSC-Light" w:hAnsi="PingFangSC-Light" w:eastAsia="PingFangSC-Light" w:cs="PingFangSC-Light"/>
                <w:sz w:val="24"/>
                <w:szCs w:val="24"/>
              </w:rPr>
              <w:t>4项学习任务</w:t>
            </w: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，</w:t>
            </w:r>
          </w:p>
          <w:p w14:paraId="0A5B825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3~9年级在音乐学科课程中设置“听赏与评述”“独唱与合作演唱”“独奏与合作演奏”“编创与展示”“小型歌舞剧表演”“探索生活中的音乐” 6项学习任务。</w:t>
            </w:r>
          </w:p>
          <w:p w14:paraId="1AC0F62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 w14:paraId="022AB51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FE3D4A"/>
                <w:sz w:val="24"/>
                <w:szCs w:val="24"/>
              </w:rPr>
              <w:t>重点● 解读四</w:t>
            </w:r>
          </w:p>
          <w:p w14:paraId="76310A1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color w:val="7A5454"/>
                <w:sz w:val="24"/>
                <w:szCs w:val="24"/>
              </w:rPr>
              <w:t>“学习任务”的解读</w:t>
            </w:r>
          </w:p>
          <w:p w14:paraId="4EB4382C">
            <w:pPr>
              <w:keepNext w:val="0"/>
              <w:keepLines w:val="0"/>
              <w:widowControl/>
              <w:suppressLineNumbers w:val="0"/>
              <w:jc w:val="left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kern w:val="0"/>
                <w:sz w:val="24"/>
                <w:szCs w:val="24"/>
                <w:lang w:val="en-US" w:eastAsia="zh-CN" w:bidi="ar"/>
              </w:rPr>
              <w:t>学习任务一：趣味唱游</w:t>
            </w:r>
          </w:p>
          <w:p w14:paraId="18BA1F4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趣味唱游是以歌唱为主，融合演奏、声势、律动、即兴表演、舞蹈表演等多种表现形式及其活动内容，以趣味化游戏方式开展的音乐活动。</w:t>
            </w:r>
          </w:p>
          <w:p w14:paraId="626D060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唱游是低年级学生学习音乐的主要形式。丰富有趣的唱游活动可以培养学生的节奏感、韵律感和初步的艺木表现能力，对激发学生的音乐学习兴趣、促进学生身心健康成长具有积极作用。</w:t>
            </w:r>
          </w:p>
          <w:p w14:paraId="2BBC316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学习任务二：聆听音乐</w:t>
            </w:r>
          </w:p>
          <w:p w14:paraId="66440BB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聆听是音乐学习的基础，是培养学生核心素养的重要途径。良好的音乐听觉和欣赏能力对学生丰富情感体验、积累音乐听觉经验、感受音乐的美好、身心健康成长具有重要意义。</w:t>
            </w:r>
          </w:p>
          <w:p w14:paraId="56C19D0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学习任务三：情境表演</w:t>
            </w:r>
          </w:p>
          <w:p w14:paraId="4664B9B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情境表演是指根据一定的情境和主题，综合运用多种手段进行角</w:t>
            </w:r>
          </w:p>
          <w:p w14:paraId="6AA5398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色扮演、形象塑造、生活场景再现等。低年级学生的情境表演活动应</w:t>
            </w:r>
          </w:p>
          <w:p w14:paraId="2F044CD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体现生活化、趣味性等特点，以音乐表现形式为主，有机融入其他艺术表现形式，开展简单的综合性表演。</w:t>
            </w:r>
          </w:p>
          <w:p w14:paraId="7729CAC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Style w:val="9"/>
                <w:rFonts w:hint="default" w:ascii="PingFangSC-Light" w:hAnsi="PingFangSC-Light" w:eastAsia="PingFangSC-Light" w:cs="PingFangSC-Light"/>
                <w:color w:val="EC0909"/>
                <w:sz w:val="24"/>
                <w:szCs w:val="24"/>
              </w:rPr>
              <w:t>学习任务四：发现身边的音乐</w:t>
            </w:r>
          </w:p>
          <w:p w14:paraId="7A00798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  <w:r>
              <w:rPr>
                <w:rFonts w:hint="default" w:ascii="PingFangSC-Light" w:hAnsi="PingFangSC-Light" w:eastAsia="PingFangSC-Light" w:cs="PingFangSC-Light"/>
                <w:sz w:val="24"/>
                <w:szCs w:val="24"/>
              </w:rPr>
              <w:t>发现身边的音乐旨在引导学生从关注身边的声音和音乐开始，萌生探究愿望，逐步发现、关注更多的音乐和相关现象，展示、交流自己的发现，体会音乐与社会生活的关系，主动参与身边的音乐活动。</w:t>
            </w:r>
          </w:p>
          <w:p w14:paraId="1240039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 w14:paraId="0AAD8BD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</w:p>
          <w:p w14:paraId="1A1E129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rStyle w:val="9"/>
                <w:color w:val="FFFFFF"/>
                <w:sz w:val="24"/>
                <w:szCs w:val="24"/>
              </w:rPr>
              <w:t> THE END </w:t>
            </w:r>
          </w:p>
          <w:p w14:paraId="730BB5D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sz w:val="24"/>
                <w:szCs w:val="24"/>
              </w:rPr>
            </w:pPr>
          </w:p>
          <w:p w14:paraId="1C22AAF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15" w:lineRule="atLeast"/>
              <w:ind w:left="120" w:right="120" w:firstLine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  <w:p w14:paraId="2DF31F36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3924F0A"/>
        </w:tc>
      </w:tr>
    </w:tbl>
    <w:p w14:paraId="3FE7DC80">
      <w:pPr>
        <w:pStyle w:val="2"/>
        <w:ind w:firstLine="0" w:firstLineChars="0"/>
        <w:rPr>
          <w:rFonts w:hint="eastAsia"/>
        </w:rPr>
      </w:pPr>
    </w:p>
    <w:sectPr>
      <w:pgSz w:w="11906" w:h="16838"/>
      <w:pgMar w:top="1440" w:right="1361" w:bottom="1440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73B2E"/>
    <w:multiLevelType w:val="multilevel"/>
    <w:tmpl w:val="98173B2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F3E18516"/>
    <w:multiLevelType w:val="multilevel"/>
    <w:tmpl w:val="F3E1851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4F7E72F4"/>
    <w:multiLevelType w:val="multilevel"/>
    <w:tmpl w:val="4F7E72F4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">
    <w:nsid w:val="59164F85"/>
    <w:multiLevelType w:val="multilevel"/>
    <w:tmpl w:val="59164F8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">
    <w:nsid w:val="640E4DA7"/>
    <w:multiLevelType w:val="singleLevel"/>
    <w:tmpl w:val="640E4DA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CAB41FF"/>
    <w:multiLevelType w:val="multilevel"/>
    <w:tmpl w:val="6CAB41F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lNjM5MDJkOTU3OTFjNjc3MTFlMmZhYjdjMThlMTEifQ=="/>
  </w:docVars>
  <w:rsids>
    <w:rsidRoot w:val="00920797"/>
    <w:rsid w:val="0028100F"/>
    <w:rsid w:val="005B193F"/>
    <w:rsid w:val="00671BD7"/>
    <w:rsid w:val="00701D2E"/>
    <w:rsid w:val="00767C25"/>
    <w:rsid w:val="00800B5E"/>
    <w:rsid w:val="00920797"/>
    <w:rsid w:val="00947D65"/>
    <w:rsid w:val="00DA5EC5"/>
    <w:rsid w:val="05520CA3"/>
    <w:rsid w:val="0A1715C2"/>
    <w:rsid w:val="206E0288"/>
    <w:rsid w:val="26F306A3"/>
    <w:rsid w:val="27454B7D"/>
    <w:rsid w:val="27F96EF2"/>
    <w:rsid w:val="2B862539"/>
    <w:rsid w:val="3AB02FA5"/>
    <w:rsid w:val="4F2758A1"/>
    <w:rsid w:val="51C903C7"/>
    <w:rsid w:val="5E084029"/>
    <w:rsid w:val="5FBF00A1"/>
    <w:rsid w:val="65F20792"/>
    <w:rsid w:val="6D8259CD"/>
    <w:rsid w:val="706E310B"/>
    <w:rsid w:val="70F25AEA"/>
    <w:rsid w:val="72ED47BB"/>
    <w:rsid w:val="7490697E"/>
    <w:rsid w:val="B5FBA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spacing w:line="500" w:lineRule="exact"/>
      <w:ind w:firstLine="480" w:firstLineChars="200"/>
    </w:pPr>
    <w:rPr>
      <w:sz w:val="24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5820</Words>
  <Characters>5870</Characters>
  <Lines>65</Lines>
  <Paragraphs>18</Paragraphs>
  <TotalTime>124</TotalTime>
  <ScaleCrop>false</ScaleCrop>
  <LinksUpToDate>false</LinksUpToDate>
  <CharactersWithSpaces>5927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2019-02-16T17:31:00Z</dcterms:created>
  <dc:creator>Administrator</dc:creator>
  <cp:lastModifiedBy>采撷阳光的男孩</cp:lastModifiedBy>
  <dcterms:modified xsi:type="dcterms:W3CDTF">2024-12-19T08:25:52Z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8BDED08F46B34F20A1FB006542E42728_13</vt:lpwstr>
  </property>
</Properties>
</file>