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ascii="隶书" w:eastAsia="隶书"/>
          <w:b/>
          <w:sz w:val="28"/>
          <w:szCs w:val="28"/>
        </w:rPr>
        <w:t>2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ascii="隶书" w:eastAsia="隶书"/>
          <w:b/>
          <w:sz w:val="28"/>
          <w:szCs w:val="28"/>
        </w:rPr>
        <w:t>5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2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张凯亮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2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9" w:type="dxa"/>
            <w:noWrap w:val="0"/>
            <w:vAlign w:val="top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3、敢于接受新鲜事物，有一定的创新精神；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4、有比较扎实的专业知识基础；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5、个性开朗，师生关系及同事关系都比较融洽；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作为数学教师首先要有强烈责任心，尊重和关心每一名学生，要有实事求是的工作态度。爱护每一个学生，关注每一学生健康成长。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1、在课堂教学中．我总怕学生描述不清，总是大包大揽，没有实现学生是课堂真正的主人。</w:t>
            </w:r>
          </w:p>
          <w:p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能手</w:t>
            </w:r>
            <w:r>
              <w:rPr>
                <w:rFonts w:hint="eastAsia"/>
                <w:b/>
                <w:sz w:val="24"/>
                <w:u w:val="single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</w:t>
            </w:r>
            <w:r>
              <w:rPr>
                <w:rFonts w:hint="eastAsia"/>
                <w:b/>
                <w:sz w:val="24"/>
                <w:u w:val="single"/>
              </w:rPr>
              <w:t xml:space="preserve">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成为教</w:t>
            </w:r>
            <w:r>
              <w:rPr>
                <w:rFonts w:hint="eastAsia"/>
                <w:sz w:val="24"/>
                <w:lang w:val="en-US" w:eastAsia="zh-CN"/>
              </w:rPr>
              <w:t>学能手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/>
          <w:sz w:val="28"/>
          <w:szCs w:val="28"/>
        </w:rPr>
        <w:t>个人成长计划</w:t>
      </w:r>
    </w:p>
    <w:tbl>
      <w:tblPr>
        <w:tblStyle w:val="2"/>
        <w:tblW w:w="90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1、学习《教师的挑战——宁静的课堂革命》、《为品格而教》等丰富自己的知识储备，随时写教学随笔，记录下体会和收获。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积极</w:t>
            </w:r>
            <w:r>
              <w:rPr>
                <w:rFonts w:hint="eastAsia"/>
              </w:rPr>
              <w:t>参加在职学历教育和非学历教育。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2、完成论文《</w:t>
            </w:r>
            <w:r>
              <w:rPr>
                <w:rFonts w:hint="eastAsia"/>
                <w:lang w:val="en-US" w:eastAsia="zh-CN"/>
              </w:rPr>
              <w:t>浅谈</w: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  <w:lang w:val="en-US" w:eastAsia="zh-CN"/>
              </w:rPr>
              <w:t>五年级探索规律的教学</w:t>
            </w:r>
            <w:r>
              <w:rPr>
                <w:rFonts w:hint="eastAsia"/>
              </w:rPr>
              <w:t>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075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研读《数学课程标准》中各阶段目标要求，以便准确把握各学段教学目标。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月    日</w:t>
            </w:r>
          </w:p>
        </w:tc>
      </w:tr>
    </w:tbl>
    <w:p>
      <w:pPr>
        <w:spacing w:line="400" w:lineRule="exact"/>
        <w:rPr>
          <w:sz w:val="24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jY2MTczMTVmZDE4OGZlYjg2YjkzZTEyZGRiOGQifQ=="/>
  </w:docVars>
  <w:rsids>
    <w:rsidRoot w:val="32C55CA2"/>
    <w:rsid w:val="32C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2023-12-12T11:09:00Z</dcterms:created>
  <dc:creator>The great idol</dc:creator>
  <cp:lastModifiedBy>The great idol</cp:lastModifiedBy>
  <dcterms:modified xsi:type="dcterms:W3CDTF">2023-12-12T11:10:55Z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DBA36431BE9E43BEAA2E7ACA0953D8E2_11</vt:lpwstr>
  </property>
</Properties>
</file>