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薛家实验小学</w:t>
      </w:r>
      <w:r>
        <w:rPr>
          <w:rFonts w:hint="eastAsia" w:ascii="黑体" w:hAnsi="宋体" w:eastAsia="黑体" w:cs="黑体"/>
          <w:color w:val="000000"/>
          <w:kern w:val="0"/>
          <w:sz w:val="32"/>
          <w:szCs w:val="32"/>
          <w:lang w:val="en-US" w:eastAsia="zh-CN" w:bidi="ar"/>
        </w:rPr>
        <w:t xml:space="preserve"> 2023-2024第二学期</w:t>
      </w:r>
      <w:r>
        <w:rPr>
          <w:rFonts w:hint="eastAsia" w:ascii="黑体" w:hAnsi="黑体" w:eastAsia="黑体" w:cs="黑体"/>
          <w:sz w:val="32"/>
          <w:szCs w:val="32"/>
          <w:u w:val="single"/>
          <w:lang w:val="en-US" w:eastAsia="zh-CN"/>
        </w:rPr>
        <w:t xml:space="preserve"> 五语  </w:t>
      </w:r>
      <w:r>
        <w:rPr>
          <w:rFonts w:hint="eastAsia" w:ascii="黑体" w:hAnsi="黑体" w:eastAsia="黑体" w:cs="黑体"/>
          <w:sz w:val="32"/>
          <w:szCs w:val="32"/>
          <w:u w:val="none"/>
          <w:lang w:val="en-US" w:eastAsia="zh-CN"/>
        </w:rPr>
        <w:t>教研组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期末</w:t>
      </w:r>
      <w:r>
        <w:rPr>
          <w:rFonts w:hint="eastAsia" w:ascii="黑体" w:hAnsi="黑体" w:eastAsia="黑体" w:cs="黑体"/>
          <w:sz w:val="32"/>
          <w:szCs w:val="32"/>
        </w:rPr>
        <w:t>质量分析报告</w:t>
      </w:r>
    </w:p>
    <w:p>
      <w:pPr>
        <w:spacing w:line="360" w:lineRule="auto"/>
        <w:jc w:val="center"/>
        <w:rPr>
          <w:rFonts w:hint="default" w:ascii="黑体" w:hAnsi="黑体" w:eastAsia="黑体" w:cs="黑体"/>
          <w:sz w:val="28"/>
          <w:szCs w:val="28"/>
          <w:u w:val="single"/>
          <w:lang w:val="en-US" w:eastAsia="zh-CN"/>
        </w:rPr>
      </w:pP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>执笔人：</w:t>
      </w:r>
      <w:r>
        <w:rPr>
          <w:rFonts w:hint="eastAsia" w:ascii="黑体" w:hAnsi="黑体" w:eastAsia="黑体" w:cs="黑体"/>
          <w:sz w:val="28"/>
          <w:szCs w:val="28"/>
          <w:u w:val="single"/>
          <w:lang w:val="en-US" w:eastAsia="zh-CN"/>
        </w:rPr>
        <w:t xml:space="preserve">  陈云   </w:t>
      </w:r>
      <w:r>
        <w:rPr>
          <w:rFonts w:hint="eastAsia" w:ascii="黑体" w:hAnsi="黑体" w:eastAsia="黑体" w:cs="黑体"/>
          <w:sz w:val="28"/>
          <w:szCs w:val="28"/>
          <w:lang w:val="en-US" w:eastAsia="zh-CN"/>
        </w:rPr>
        <w:t xml:space="preserve"> 审核人：</w:t>
      </w:r>
      <w:r>
        <w:rPr>
          <w:rFonts w:hint="eastAsia" w:ascii="黑体" w:hAnsi="黑体" w:eastAsia="黑体" w:cs="黑体"/>
          <w:sz w:val="28"/>
          <w:szCs w:val="28"/>
          <w:u w:val="single"/>
          <w:lang w:val="en-US" w:eastAsia="zh-CN"/>
        </w:rPr>
        <w:t xml:space="preserve">        </w:t>
      </w:r>
    </w:p>
    <w:p>
      <w:pPr>
        <w:spacing w:line="360" w:lineRule="auto"/>
        <w:jc w:val="left"/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一、测试概况</w:t>
      </w:r>
    </w:p>
    <w:p>
      <w:pPr>
        <w:spacing w:line="360" w:lineRule="auto"/>
        <w:rPr>
          <w:rFonts w:ascii="宋体" w:hAnsi="宋体" w:eastAsia="宋体" w:cs="宋体"/>
          <w:sz w:val="24"/>
          <w:u w:val="single"/>
        </w:rPr>
      </w:pPr>
      <w:r>
        <w:rPr>
          <w:rFonts w:hint="eastAsia" w:ascii="宋体" w:hAnsi="宋体" w:eastAsia="宋体" w:cs="宋体"/>
          <w:sz w:val="24"/>
        </w:rPr>
        <w:t xml:space="preserve">    学业水平总体情况包括：全体平均分，学业水平表现，重点关注优秀率、</w:t>
      </w:r>
      <w:r>
        <w:rPr>
          <w:rFonts w:hint="eastAsia" w:ascii="宋体" w:hAnsi="宋体" w:eastAsia="宋体" w:cs="宋体"/>
          <w:sz w:val="24"/>
          <w:lang w:val="en-US" w:eastAsia="zh-CN"/>
        </w:rPr>
        <w:t>良好率、及格率、</w:t>
      </w:r>
      <w:r>
        <w:rPr>
          <w:rFonts w:hint="eastAsia" w:ascii="宋体" w:hAnsi="宋体" w:eastAsia="宋体" w:cs="宋体"/>
          <w:sz w:val="24"/>
        </w:rPr>
        <w:t>低分率等。</w:t>
      </w:r>
      <w:r>
        <w:rPr>
          <w:rFonts w:hint="eastAsia" w:ascii="宋体" w:hAnsi="宋体" w:eastAsia="宋体" w:cs="宋体"/>
          <w:sz w:val="24"/>
          <w:u w:val="single"/>
        </w:rPr>
        <w:t>可用统计表、统计图等形式呈现。</w:t>
      </w:r>
    </w:p>
    <w:tbl>
      <w:tblPr>
        <w:tblStyle w:val="3"/>
        <w:tblW w:w="100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"/>
        <w:gridCol w:w="705"/>
        <w:gridCol w:w="975"/>
        <w:gridCol w:w="960"/>
        <w:gridCol w:w="1065"/>
        <w:gridCol w:w="1002"/>
        <w:gridCol w:w="1290"/>
        <w:gridCol w:w="1158"/>
        <w:gridCol w:w="960"/>
        <w:gridCol w:w="9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  <w:jc w:val="center"/>
        </w:trPr>
        <w:tc>
          <w:tcPr>
            <w:tcW w:w="951" w:type="dxa"/>
            <w:vAlign w:val="center"/>
          </w:tcPr>
          <w:p>
            <w:pPr>
              <w:spacing w:line="360" w:lineRule="auto"/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</w:rPr>
              <w:t xml:space="preserve"> </w:t>
            </w: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kern w:val="0"/>
                <w:sz w:val="24"/>
                <w:szCs w:val="24"/>
              </w:rPr>
              <w:t>班级</w:t>
            </w:r>
          </w:p>
        </w:tc>
        <w:tc>
          <w:tcPr>
            <w:tcW w:w="705" w:type="dxa"/>
            <w:vAlign w:val="center"/>
          </w:tcPr>
          <w:p>
            <w:pPr>
              <w:spacing w:line="360" w:lineRule="auto"/>
              <w:rPr>
                <w:rFonts w:hint="default" w:ascii="黑体" w:hAnsi="黑体" w:eastAsia="黑体" w:cs="黑体"/>
                <w:sz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  <w:t>人数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both"/>
              <w:textAlignment w:val="auto"/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kern w:val="0"/>
                <w:sz w:val="24"/>
                <w:szCs w:val="24"/>
              </w:rPr>
              <w:t>总分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both"/>
              <w:textAlignment w:val="auto"/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kern w:val="0"/>
                <w:sz w:val="24"/>
                <w:szCs w:val="24"/>
              </w:rPr>
              <w:t>均分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kern w:val="0"/>
                <w:sz w:val="24"/>
                <w:szCs w:val="24"/>
              </w:rPr>
              <w:t>优秀率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default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  <w:t>良好率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  <w:t>合格</w:t>
            </w: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kern w:val="0"/>
                <w:sz w:val="24"/>
                <w:szCs w:val="24"/>
              </w:rPr>
              <w:t>率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  <w:t>低分率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default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  <w:t>最高分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default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kern w:val="0"/>
                <w:sz w:val="24"/>
                <w:szCs w:val="24"/>
                <w:lang w:val="en-US" w:eastAsia="zh-CN"/>
              </w:rPr>
              <w:t>最低分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46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3892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84.61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69.57%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91.3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95.65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94.5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42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五2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46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3942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85.70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71.74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93.5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97.83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96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55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五3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44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3976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90.36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93.18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100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100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96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79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五4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46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3954.5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85.97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65.22%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none"/>
                <w:lang w:val="en-US" w:eastAsia="zh-CN" w:bidi="ar-SA"/>
              </w:rPr>
              <w:t>95.65%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100%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kern w:val="2"/>
                <w:sz w:val="24"/>
                <w:szCs w:val="24"/>
                <w:u w:val="none"/>
                <w:lang w:val="en-US" w:eastAsia="zh-CN" w:bidi="ar-SA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95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71.5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五5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46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3774.5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82.05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47.83%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none"/>
                <w:lang w:val="en-US" w:eastAsia="zh-CN" w:bidi="ar-SA"/>
              </w:rPr>
              <w:t>80.43%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97.82%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2.18%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95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19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五6</w:t>
            </w:r>
          </w:p>
        </w:tc>
        <w:tc>
          <w:tcPr>
            <w:tcW w:w="70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46</w:t>
            </w:r>
          </w:p>
        </w:tc>
        <w:tc>
          <w:tcPr>
            <w:tcW w:w="97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3859.5</w:t>
            </w:r>
          </w:p>
        </w:tc>
        <w:tc>
          <w:tcPr>
            <w:tcW w:w="96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83.9</w:t>
            </w:r>
          </w:p>
        </w:tc>
        <w:tc>
          <w:tcPr>
            <w:tcW w:w="106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65.22%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89.13</w:t>
            </w:r>
          </w:p>
        </w:tc>
        <w:tc>
          <w:tcPr>
            <w:tcW w:w="129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95.65%</w:t>
            </w:r>
          </w:p>
        </w:tc>
        <w:tc>
          <w:tcPr>
            <w:tcW w:w="1158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4.3%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95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25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五7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46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4015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87.28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80.43%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none"/>
                <w:lang w:val="en-US" w:eastAsia="zh-CN" w:bidi="ar-SA"/>
              </w:rPr>
              <w:t>93.5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sz w:val="24"/>
                <w:u w:val="none"/>
                <w:lang w:val="en-US" w:eastAsia="zh-CN"/>
              </w:rPr>
              <w:t>95.65%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/>
                <w:kern w:val="2"/>
                <w:sz w:val="24"/>
                <w:szCs w:val="24"/>
                <w:u w:val="none"/>
                <w:lang w:val="en-US" w:eastAsia="zh-CN" w:bidi="ar-SA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96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52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五8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46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3976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86.4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71.7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both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93.5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100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93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68.5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五9</w:t>
            </w:r>
          </w:p>
        </w:tc>
        <w:tc>
          <w:tcPr>
            <w:tcW w:w="70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45</w:t>
            </w:r>
          </w:p>
        </w:tc>
        <w:tc>
          <w:tcPr>
            <w:tcW w:w="97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3944</w:t>
            </w:r>
          </w:p>
        </w:tc>
        <w:tc>
          <w:tcPr>
            <w:tcW w:w="96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87.64</w:t>
            </w:r>
          </w:p>
        </w:tc>
        <w:tc>
          <w:tcPr>
            <w:tcW w:w="106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77.77%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93.3</w:t>
            </w:r>
          </w:p>
        </w:tc>
        <w:tc>
          <w:tcPr>
            <w:tcW w:w="129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100%</w:t>
            </w:r>
          </w:p>
        </w:tc>
        <w:tc>
          <w:tcPr>
            <w:tcW w:w="1158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95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70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五10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45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3894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86.6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75.6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93.3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97.7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96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43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五11</w:t>
            </w:r>
          </w:p>
        </w:tc>
        <w:tc>
          <w:tcPr>
            <w:tcW w:w="70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44</w:t>
            </w:r>
          </w:p>
        </w:tc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3747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85.16</w:t>
            </w:r>
          </w:p>
        </w:tc>
        <w:tc>
          <w:tcPr>
            <w:tcW w:w="106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65.90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88.64</w:t>
            </w:r>
          </w:p>
        </w:tc>
        <w:tc>
          <w:tcPr>
            <w:tcW w:w="12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97.73</w:t>
            </w:r>
          </w:p>
        </w:tc>
        <w:tc>
          <w:tcPr>
            <w:tcW w:w="115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kern w:val="2"/>
                <w:sz w:val="24"/>
                <w:szCs w:val="24"/>
                <w:u w:val="single"/>
                <w:lang w:val="en-US" w:eastAsia="zh-CN" w:bidi="ar-SA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94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58.5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五12</w:t>
            </w:r>
          </w:p>
        </w:tc>
        <w:tc>
          <w:tcPr>
            <w:tcW w:w="70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45</w:t>
            </w:r>
          </w:p>
        </w:tc>
        <w:tc>
          <w:tcPr>
            <w:tcW w:w="97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3689</w:t>
            </w:r>
          </w:p>
        </w:tc>
        <w:tc>
          <w:tcPr>
            <w:tcW w:w="96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81.98</w:t>
            </w:r>
          </w:p>
        </w:tc>
        <w:tc>
          <w:tcPr>
            <w:tcW w:w="106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46.67%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80％</w:t>
            </w:r>
          </w:p>
        </w:tc>
        <w:tc>
          <w:tcPr>
            <w:tcW w:w="129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100%</w:t>
            </w:r>
          </w:p>
        </w:tc>
        <w:tc>
          <w:tcPr>
            <w:tcW w:w="1158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93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五13</w:t>
            </w:r>
          </w:p>
        </w:tc>
        <w:tc>
          <w:tcPr>
            <w:tcW w:w="70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47</w:t>
            </w:r>
          </w:p>
        </w:tc>
        <w:tc>
          <w:tcPr>
            <w:tcW w:w="97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4148.5</w:t>
            </w:r>
          </w:p>
        </w:tc>
        <w:tc>
          <w:tcPr>
            <w:tcW w:w="96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88.27</w:t>
            </w:r>
          </w:p>
        </w:tc>
        <w:tc>
          <w:tcPr>
            <w:tcW w:w="1065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78.7%</w:t>
            </w:r>
          </w:p>
        </w:tc>
        <w:tc>
          <w:tcPr>
            <w:tcW w:w="1002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100%</w:t>
            </w:r>
          </w:p>
        </w:tc>
        <w:tc>
          <w:tcPr>
            <w:tcW w:w="1290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100%</w:t>
            </w:r>
          </w:p>
        </w:tc>
        <w:tc>
          <w:tcPr>
            <w:tcW w:w="1158" w:type="dxa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0</w:t>
            </w:r>
          </w:p>
        </w:tc>
        <w:tc>
          <w:tcPr>
            <w:tcW w:w="96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97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76.5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五14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45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3787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84.16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51.11</w:t>
            </w:r>
          </w:p>
        </w:tc>
        <w:tc>
          <w:tcPr>
            <w:tcW w:w="1002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91.11%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100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</w:t>
            </w:r>
          </w:p>
        </w:tc>
        <w:tc>
          <w:tcPr>
            <w:tcW w:w="96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94</w:t>
            </w:r>
          </w:p>
        </w:tc>
        <w:tc>
          <w:tcPr>
            <w:tcW w:w="99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62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五15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45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3776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83.9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71</w:t>
            </w:r>
          </w:p>
        </w:tc>
        <w:tc>
          <w:tcPr>
            <w:tcW w:w="1002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91.1%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95.6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</w:t>
            </w:r>
          </w:p>
        </w:tc>
        <w:tc>
          <w:tcPr>
            <w:tcW w:w="96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95</w:t>
            </w:r>
          </w:p>
        </w:tc>
        <w:tc>
          <w:tcPr>
            <w:tcW w:w="99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48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五16</w:t>
            </w:r>
          </w:p>
        </w:tc>
        <w:tc>
          <w:tcPr>
            <w:tcW w:w="0" w:type="auto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46</w:t>
            </w:r>
          </w:p>
        </w:tc>
        <w:tc>
          <w:tcPr>
            <w:tcW w:w="0" w:type="auto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4036</w:t>
            </w:r>
          </w:p>
        </w:tc>
        <w:tc>
          <w:tcPr>
            <w:tcW w:w="0" w:type="auto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87.74</w:t>
            </w:r>
          </w:p>
        </w:tc>
        <w:tc>
          <w:tcPr>
            <w:tcW w:w="0" w:type="auto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84.78%</w:t>
            </w:r>
          </w:p>
        </w:tc>
        <w:tc>
          <w:tcPr>
            <w:tcW w:w="1002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97.83%</w:t>
            </w:r>
          </w:p>
        </w:tc>
        <w:tc>
          <w:tcPr>
            <w:tcW w:w="0" w:type="auto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100%</w:t>
            </w:r>
          </w:p>
        </w:tc>
        <w:tc>
          <w:tcPr>
            <w:tcW w:w="0" w:type="auto"/>
            <w:vAlign w:val="center"/>
          </w:tcPr>
          <w:p>
            <w:pPr>
              <w:spacing w:line="420" w:lineRule="exact"/>
              <w:jc w:val="center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</w:rPr>
              <w:t>0</w:t>
            </w:r>
          </w:p>
        </w:tc>
        <w:tc>
          <w:tcPr>
            <w:tcW w:w="96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95</w:t>
            </w:r>
          </w:p>
        </w:tc>
        <w:tc>
          <w:tcPr>
            <w:tcW w:w="99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63.5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五17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45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3917.5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87.06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77.78%</w:t>
            </w:r>
          </w:p>
        </w:tc>
        <w:tc>
          <w:tcPr>
            <w:tcW w:w="1002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93.33%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95.56%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2.22%</w:t>
            </w:r>
          </w:p>
        </w:tc>
        <w:tc>
          <w:tcPr>
            <w:tcW w:w="96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96.5</w:t>
            </w:r>
          </w:p>
        </w:tc>
        <w:tc>
          <w:tcPr>
            <w:tcW w:w="99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37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五18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45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3928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87.29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73.33</w:t>
            </w:r>
          </w:p>
        </w:tc>
        <w:tc>
          <w:tcPr>
            <w:tcW w:w="1002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/>
              </w:rPr>
            </w:pPr>
            <w:r>
              <w:rPr>
                <w:rFonts w:hint="eastAsia" w:ascii="Calibri" w:hAnsi="Calibri" w:eastAsia="宋体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>93.33%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100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kern w:val="2"/>
                <w:sz w:val="24"/>
                <w:szCs w:val="24"/>
                <w:u w:val="single"/>
                <w:lang w:val="en-US" w:eastAsia="zh-CN" w:bidi="ar-SA"/>
              </w:rPr>
              <w:t>0</w:t>
            </w:r>
          </w:p>
        </w:tc>
        <w:tc>
          <w:tcPr>
            <w:tcW w:w="96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95</w:t>
            </w:r>
          </w:p>
        </w:tc>
        <w:tc>
          <w:tcPr>
            <w:tcW w:w="99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before="100" w:beforeAutospacing="1" w:after="100" w:afterAutospacing="1" w:line="440" w:lineRule="atLeast"/>
              <w:jc w:val="center"/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</w:rPr>
              <w:t>66.5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default"/>
                <w:sz w:val="24"/>
                <w:u w:val="singl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4"/>
                <w:u w:val="single"/>
                <w:lang w:val="en-US" w:eastAsia="zh-CN"/>
              </w:rPr>
              <w:t>合计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818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/>
                <w:sz w:val="22"/>
                <w:szCs w:val="22"/>
                <w:u w:val="single"/>
                <w:lang w:val="en-US" w:eastAsia="zh-CN"/>
              </w:rPr>
            </w:pPr>
            <w:r>
              <w:rPr>
                <w:rFonts w:hint="eastAsia"/>
                <w:sz w:val="22"/>
                <w:szCs w:val="22"/>
                <w:u w:val="single"/>
                <w:lang w:val="en-US" w:eastAsia="zh-CN"/>
              </w:rPr>
              <w:t>70256.5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/>
                <w:sz w:val="24"/>
                <w:u w:val="single"/>
                <w:lang w:val="en-US" w:eastAsia="zh-CN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85.89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default"/>
                <w:sz w:val="24"/>
                <w:u w:val="single"/>
                <w:lang w:val="en-US" w:eastAsia="zh-CN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70.4%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  <w:lang w:val="en-US" w:eastAsia="zh-CN"/>
              </w:rPr>
              <w:t>92.16%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98.3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jc w:val="center"/>
              <w:textAlignment w:val="auto"/>
              <w:rPr>
                <w:rFonts w:hint="eastAsia" w:eastAsia="宋体" w:asciiTheme="minorHAnsi" w:hAnsiTheme="minorHAnsi" w:cstheme="minorBidi"/>
                <w:kern w:val="2"/>
                <w:sz w:val="24"/>
                <w:szCs w:val="24"/>
                <w:u w:val="single"/>
                <w:lang w:val="en-US" w:eastAsia="zh-CN" w:bidi="ar-SA"/>
              </w:rPr>
            </w:pPr>
            <w:r>
              <w:rPr>
                <w:rFonts w:hint="eastAsia"/>
                <w:sz w:val="24"/>
                <w:u w:val="single"/>
                <w:lang w:val="en-US" w:eastAsia="zh-CN"/>
              </w:rPr>
              <w:t>0.4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  <w:lang w:val="en-US" w:eastAsia="zh-CN"/>
              </w:rPr>
              <w:t>95.06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440" w:lineRule="atLeast"/>
              <w:jc w:val="center"/>
              <w:textAlignment w:val="auto"/>
              <w:rPr>
                <w:rFonts w:hint="default" w:ascii="楷体_GB2312" w:hAnsi="楷体_GB2312" w:eastAsia="楷体_GB2312" w:cs="楷体_GB2312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kern w:val="0"/>
                <w:sz w:val="24"/>
                <w:szCs w:val="24"/>
                <w:lang w:val="en-US" w:eastAsia="zh-CN"/>
              </w:rPr>
              <w:t>55.67</w:t>
            </w:r>
          </w:p>
        </w:tc>
      </w:tr>
    </w:tbl>
    <w:p>
      <w:pPr>
        <w:spacing w:line="360" w:lineRule="auto"/>
        <w:rPr>
          <w:rFonts w:hint="eastAsia" w:ascii="黑体" w:hAnsi="黑体" w:eastAsia="黑体" w:cs="黑体"/>
          <w:b/>
          <w:bCs/>
          <w:sz w:val="24"/>
        </w:rPr>
      </w:pPr>
    </w:p>
    <w:p>
      <w:pPr>
        <w:spacing w:line="360" w:lineRule="auto"/>
        <w:rPr>
          <w:rFonts w:ascii="黑体" w:hAnsi="黑体" w:eastAsia="黑体" w:cs="黑体"/>
          <w:b/>
          <w:bCs/>
          <w:sz w:val="24"/>
        </w:rPr>
      </w:pPr>
      <w:r>
        <w:rPr>
          <w:rFonts w:hint="eastAsia" w:ascii="黑体" w:hAnsi="黑体" w:eastAsia="黑体" w:cs="黑体"/>
          <w:b/>
          <w:bCs/>
          <w:sz w:val="24"/>
        </w:rPr>
        <w:t>二、测试结果与分析</w:t>
      </w:r>
    </w:p>
    <w:p>
      <w:pPr>
        <w:spacing w:line="360" w:lineRule="auto"/>
        <w:ind w:firstLine="480"/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>（一）各领域（类型）得分率</w:t>
      </w:r>
    </w:p>
    <w:p>
      <w:pPr>
        <w:spacing w:line="360" w:lineRule="auto"/>
        <w:rPr>
          <w:rFonts w:cs="黑体" w:asciiTheme="minorEastAsia" w:hAnsiTheme="minorEastAsia"/>
          <w:sz w:val="24"/>
          <w:u w:val="single"/>
        </w:rPr>
      </w:pPr>
      <w:r>
        <w:rPr>
          <w:rFonts w:hint="eastAsia" w:cs="黑体" w:asciiTheme="minorEastAsia" w:hAnsiTheme="minorEastAsia"/>
          <w:sz w:val="24"/>
        </w:rPr>
        <w:t xml:space="preserve"> </w:t>
      </w:r>
      <w:r>
        <w:rPr>
          <w:rFonts w:cs="黑体" w:asciiTheme="minorEastAsia" w:hAnsiTheme="minorEastAsia"/>
          <w:sz w:val="24"/>
        </w:rPr>
        <w:t xml:space="preserve">  </w:t>
      </w:r>
      <w:r>
        <w:rPr>
          <w:rFonts w:cs="黑体" w:asciiTheme="minorEastAsia" w:hAnsiTheme="minorEastAsia"/>
          <w:sz w:val="24"/>
          <w:u w:val="single"/>
        </w:rPr>
        <w:t xml:space="preserve">  用表格集中呈现</w:t>
      </w:r>
      <w:r>
        <w:rPr>
          <w:rFonts w:hint="eastAsia" w:cs="黑体" w:asciiTheme="minorEastAsia" w:hAnsiTheme="minorEastAsia"/>
          <w:sz w:val="24"/>
          <w:u w:val="single"/>
          <w:lang w:val="en-US" w:eastAsia="zh-CN"/>
        </w:rPr>
        <w:t>各班</w:t>
      </w:r>
      <w:r>
        <w:rPr>
          <w:rFonts w:cs="黑体" w:asciiTheme="minorEastAsia" w:hAnsiTheme="minorEastAsia"/>
          <w:sz w:val="24"/>
          <w:u w:val="single"/>
        </w:rPr>
        <w:t>各题得分率情况</w:t>
      </w:r>
    </w:p>
    <w:p>
      <w:pPr>
        <w:spacing w:line="360" w:lineRule="auto"/>
        <w:rPr>
          <w:rFonts w:cs="黑体" w:asciiTheme="minorEastAsia" w:hAnsiTheme="minorEastAsia"/>
          <w:sz w:val="24"/>
          <w:u w:val="single"/>
        </w:rPr>
      </w:pPr>
    </w:p>
    <w:p>
      <w:pPr>
        <w:spacing w:line="360" w:lineRule="auto"/>
        <w:rPr>
          <w:rFonts w:cs="黑体" w:asciiTheme="minorEastAsia" w:hAnsiTheme="minorEastAsia"/>
          <w:sz w:val="24"/>
          <w:u w:val="single"/>
        </w:rPr>
      </w:pPr>
    </w:p>
    <w:p>
      <w:pPr>
        <w:spacing w:line="360" w:lineRule="auto"/>
        <w:rPr>
          <w:rFonts w:ascii="黑体" w:hAnsi="黑体" w:eastAsia="黑体" w:cs="黑体"/>
          <w:sz w:val="24"/>
        </w:rPr>
      </w:pPr>
      <w:r>
        <w:rPr>
          <w:rFonts w:hint="eastAsia" w:ascii="黑体" w:hAnsi="黑体" w:eastAsia="黑体" w:cs="黑体"/>
          <w:sz w:val="24"/>
        </w:rPr>
        <w:t xml:space="preserve">    （二）典型题目（错题）分析</w:t>
      </w:r>
    </w:p>
    <w:p>
      <w:pPr>
        <w:spacing w:line="360" w:lineRule="auto"/>
        <w:rPr>
          <w:rFonts w:hint="eastAsia" w:ascii="宋体" w:hAnsi="宋体" w:eastAsia="宋体" w:cs="宋体"/>
          <w:sz w:val="24"/>
        </w:rPr>
      </w:pPr>
      <w:r>
        <w:rPr>
          <w:rFonts w:hint="eastAsia" w:ascii="黑体" w:hAnsi="黑体" w:eastAsia="黑体" w:cs="黑体"/>
          <w:sz w:val="24"/>
        </w:rPr>
        <w:t xml:space="preserve">    </w:t>
      </w:r>
      <w:r>
        <w:rPr>
          <w:rFonts w:hint="eastAsia" w:ascii="宋体" w:hAnsi="宋体" w:eastAsia="宋体" w:cs="宋体"/>
          <w:sz w:val="24"/>
        </w:rPr>
        <w:t xml:space="preserve"> 呈现典型错题，并进行分析。</w:t>
      </w:r>
    </w:p>
    <w:tbl>
      <w:tblPr>
        <w:tblStyle w:val="2"/>
        <w:tblW w:w="9165" w:type="dxa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8" w:space="0"/>
          <w:insideV w:val="single" w:color="auto" w:sz="8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4"/>
        <w:gridCol w:w="3767"/>
        <w:gridCol w:w="4014"/>
      </w:tblGrid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1384" w:type="dxa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Cs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sz w:val="28"/>
                <w:szCs w:val="28"/>
              </w:rPr>
              <w:t>题型类别</w:t>
            </w:r>
          </w:p>
        </w:tc>
        <w:tc>
          <w:tcPr>
            <w:tcW w:w="3767" w:type="dxa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Cs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sz w:val="28"/>
                <w:szCs w:val="28"/>
              </w:rPr>
              <w:t>典型错误</w:t>
            </w:r>
            <w:r>
              <w:rPr>
                <w:rFonts w:hint="eastAsia" w:ascii="楷体_GB2312" w:hAnsi="楷体_GB2312" w:eastAsia="楷体_GB2312" w:cs="楷体_GB2312"/>
                <w:bCs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sz w:val="28"/>
                <w:szCs w:val="28"/>
                <w:lang w:val="en-US" w:eastAsia="zh-CN"/>
              </w:rPr>
              <w:t>拍照呈现</w:t>
            </w:r>
            <w:r>
              <w:rPr>
                <w:rFonts w:hint="eastAsia" w:ascii="楷体_GB2312" w:hAnsi="楷体_GB2312" w:eastAsia="楷体_GB2312" w:cs="楷体_GB2312"/>
                <w:bCs/>
                <w:sz w:val="28"/>
                <w:szCs w:val="28"/>
                <w:lang w:eastAsia="zh-CN"/>
              </w:rPr>
              <w:t>）</w:t>
            </w:r>
          </w:p>
        </w:tc>
        <w:tc>
          <w:tcPr>
            <w:tcW w:w="4014" w:type="dxa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Cs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sz w:val="28"/>
                <w:szCs w:val="28"/>
              </w:rPr>
              <w:t>原因分析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看拼音，写词语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925195" cy="2236470"/>
                  <wp:effectExtent l="0" t="0" r="11430" b="1905"/>
                  <wp:docPr id="4" name="图片 1" descr="IMG_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 descr="IMG_001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31262" r="27405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925195" cy="223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870585" cy="2258060"/>
                  <wp:effectExtent l="0" t="0" r="2540" b="5715"/>
                  <wp:docPr id="1" name="图片 2" descr="IMG_0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" descr="IMG_00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32483" r="35915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870585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错例一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正确率（77.8）%，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主要错因：一是这个词语已经基本记不得，极小部分同学是随意写的，二是这个词语中的“督”字不会写，特别是下半部分错写成“日”。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“都督”一词不是词语表中的词语，复习时复习得不都全面，但“督”是课文《草船借箭》中的四会字，是学生应会的知识。在以后的教学中应抓住教学重难点进行重点复习。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选择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879475" cy="2333625"/>
                  <wp:effectExtent l="0" t="0" r="3175" b="9525"/>
                  <wp:docPr id="2" name="图片 3" descr="IMG_0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" descr="IMG_00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r="60709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87947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二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正确率（86.7）%，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主要错因：对于二会字的读音不能准确地掌握，与生活中口语读音混淆。特别是“被俘”“衣裳”中的“俘”和“裳”的读音，“徘徊”的“徊”的读音是三拼音节，而不是选项中所给的。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在教学中要注意与生活中易读错的读音进行区分，重点理解记忆，同时对于不熟悉的字音应该通过多种教学方式进行理解。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基础名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句积累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238375" cy="327660"/>
                  <wp:effectExtent l="0" t="0" r="9525" b="2540"/>
                  <wp:docPr id="3" name="图片 4" descr="IMG_0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4" descr="IMG_00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62120" b="26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正确率（80）%，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主要错因：《论语》中的两句话混淆，不能准确理解句子的意思，所以很多同学会误选成A选项。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在今后的教学中关注相似句子的理解，充分理解。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非连续性文本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07010" cy="2040255"/>
                  <wp:effectExtent l="0" t="0" r="4445" b="8890"/>
                  <wp:docPr id="5" name="图片 5" descr="微信图片_20240627145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微信图片_202406271455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207010" cy="204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错例一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见左图X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正确率（11.36）%，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主要错因：学生将文本中出现的时间与题干相对应，直接判断为正确。但忽视了载人一词，他们没有理解载人飞船与神舟飞船首次发射成功的区别。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平时教学中多进行阅读训练，通过多种方法培养学生认真审题的习惯，注重审题方法的指导并进行针对性训练，避免答非所问，导致失分。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加强审题训练，通过变化语调读题，标记关键等方法，培养学生的审题能力，提高学生审题的准确性。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阅读1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777875" cy="2540000"/>
                  <wp:effectExtent l="0" t="0" r="0" b="9525"/>
                  <wp:docPr id="6" name="图片 6" descr="5391650BC27B0330C85CA3253FC532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5391650BC27B0330C85CA3253FC532B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777875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错例一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见左图X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正确率（74 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段落的作用与修辞手法混淆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读题不细致，要选择错误的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解题时要进一步关注段落的结构作用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 xml:space="preserve">阅读2 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631825</wp:posOffset>
                  </wp:positionH>
                  <wp:positionV relativeFrom="paragraph">
                    <wp:posOffset>-156210</wp:posOffset>
                  </wp:positionV>
                  <wp:extent cx="956310" cy="2346325"/>
                  <wp:effectExtent l="0" t="0" r="3175" b="8890"/>
                  <wp:wrapNone/>
                  <wp:docPr id="7" name="图片 7" descr="IMG_6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8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956310" cy="234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正确率（80）%，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能找到描写的点，但是不会概括角度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与修辞手法混搭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1、教会孩子读文，能抓住动词赏析角度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2、关注渗透常用的描写手法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 xml:space="preserve">阅读3 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666115</wp:posOffset>
                  </wp:positionH>
                  <wp:positionV relativeFrom="paragraph">
                    <wp:posOffset>-308610</wp:posOffset>
                  </wp:positionV>
                  <wp:extent cx="922020" cy="2330450"/>
                  <wp:effectExtent l="0" t="0" r="6350" b="5080"/>
                  <wp:wrapNone/>
                  <wp:docPr id="8" name="图片 8" descr="10312BAF8F21B31EC9DE71674A4E11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10312BAF8F21B31EC9DE71674A4E118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92202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正确率（72）%，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4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概括没有结合范例，格式不对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4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概括事件的时候前后颠倒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学会读题，概括时学会找关键词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400" w:lineRule="atLeast"/>
              <w:jc w:val="center"/>
              <w:rPr>
                <w:rFonts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  <w:t>阅读4</w:t>
            </w:r>
          </w:p>
          <w:p>
            <w:pPr>
              <w:spacing w:line="400" w:lineRule="atLeast"/>
              <w:jc w:val="center"/>
              <w:rPr>
                <w:rFonts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drawing>
                <wp:inline distT="0" distB="0" distL="114300" distR="114300">
                  <wp:extent cx="2618740" cy="1353185"/>
                  <wp:effectExtent l="0" t="0" r="10160" b="5715"/>
                  <wp:docPr id="9" name="图片 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错例一（见左图X）：正确率（6</w:t>
            </w:r>
            <w:r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7.4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 xml:space="preserve">  ）%，</w:t>
            </w:r>
          </w:p>
          <w:p>
            <w:pPr>
              <w:spacing w:line="400" w:lineRule="atLeast"/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主要错因：句子赏析有一定的答题思路，但是情感把握不准确。</w:t>
            </w: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改进建议：1</w:t>
            </w:r>
            <w:r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.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规范学生答题步骤和习惯，养成良好的答题习惯。2</w:t>
            </w:r>
            <w:r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.提高阅读理解能力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  <w:t>阅读5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drawing>
                <wp:inline distT="0" distB="0" distL="114300" distR="114300">
                  <wp:extent cx="2630170" cy="1334135"/>
                  <wp:effectExtent l="0" t="0" r="11430" b="12065"/>
                  <wp:docPr id="10" name="图片 1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33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 xml:space="preserve">错例一（见左图X）：正确率（ </w:t>
            </w:r>
            <w:r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90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 xml:space="preserve"> ）%，</w:t>
            </w:r>
          </w:p>
          <w:p>
            <w:pPr>
              <w:spacing w:line="400" w:lineRule="atLeast"/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主要错因：部分同学不能结合文章，把握住思乡情感回答，回答不能有理有据。</w:t>
            </w: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改进建议：学会抓住文章中心答题。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400" w:lineRule="atLeast"/>
              <w:jc w:val="center"/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</w:rPr>
              <w:t>阅读6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drawing>
                <wp:inline distT="0" distB="0" distL="114300" distR="114300">
                  <wp:extent cx="2708910" cy="1327785"/>
                  <wp:effectExtent l="0" t="0" r="8890" b="5715"/>
                  <wp:docPr id="11" name="图片 1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10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错例一（见左图X）：正确率（8</w:t>
            </w:r>
            <w:r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3.33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 xml:space="preserve">  ）%，</w:t>
            </w:r>
          </w:p>
          <w:p>
            <w:pPr>
              <w:spacing w:line="400" w:lineRule="atLeast"/>
              <w:rPr>
                <w:rFonts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主要错因：部分孩子不能结合文章关键词，展开合理具体想象，过于简单。</w:t>
            </w:r>
          </w:p>
          <w:p>
            <w:pPr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改进建议：学会结合题目关键词，适当的展开丰富的想象。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阅读7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418590" cy="1891665"/>
                  <wp:effectExtent l="0" t="0" r="635" b="3810"/>
                  <wp:docPr id="12" name="图片 12" descr="IMG_20240627_145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627_1455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1418590" cy="189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错例一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见左图X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正确率（75.36  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主要错因：1个别孩子不能结合文章的主题思想去回答，造成失分。2 回答结构和内容上回答不全面，主题思想把握不准确。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1答题范式需要再强调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2 书写要工整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阅读8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084580" cy="2032635"/>
                  <wp:effectExtent l="0" t="474345" r="0" b="0"/>
                  <wp:docPr id="13" name="图片 13" descr="IMG_20240627_14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627_1455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8774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1084580" cy="203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错例一（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见左图X）：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正确率（77.17 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主要错因：1判断错误，回答“好”。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2 原因写得不够全面。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改进建议：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1答题范式需要再强调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2 要提醒孩子结合主题思想来回答问题。</w:t>
            </w:r>
          </w:p>
        </w:tc>
      </w:tr>
      <w:tr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1" w:hRule="atLeast"/>
        </w:trPr>
        <w:tc>
          <w:tcPr>
            <w:tcW w:w="1384" w:type="dxa"/>
            <w:tcBorders>
              <w:top w:val="single" w:color="auto" w:sz="8" w:space="0"/>
              <w:left w:val="single" w:color="auto" w:sz="12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center"/>
              <w:rPr>
                <w:rFonts w:hint="default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/>
                <w:bCs/>
                <w:color w:val="000000"/>
                <w:sz w:val="28"/>
                <w:szCs w:val="28"/>
                <w:lang w:val="en-US" w:eastAsia="zh-CN"/>
              </w:rPr>
              <w:t>作文</w:t>
            </w:r>
          </w:p>
        </w:tc>
        <w:tc>
          <w:tcPr>
            <w:tcW w:w="376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numPr>
                <w:ilvl w:val="0"/>
                <w:numId w:val="5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不能以第一人称叙述自己的成长</w:t>
            </w:r>
          </w:p>
          <w:p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235200" cy="1005840"/>
                  <wp:effectExtent l="0" t="0" r="0" b="10160"/>
                  <wp:docPr id="15" name="图片 14" descr="IMG_20240627_160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 descr="IMG_20240627_1608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20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both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2.偏离现实，描述夸张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jc w:val="both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352550" cy="2207260"/>
                  <wp:effectExtent l="0" t="0" r="2540" b="6350"/>
                  <wp:docPr id="14" name="图片 15" descr="IMG_20240627_160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5" descr="IMG_20240627_16094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-5400000" flipV="1">
                            <a:off x="0" y="0"/>
                            <a:ext cx="1352550" cy="220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ind w:leftChars="0"/>
              <w:jc w:val="both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3.选择的事例不够代表性，难以体现自我成长中的改变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N/>
              <w:bidi w:val="0"/>
              <w:spacing w:line="400" w:lineRule="atLeast"/>
              <w:ind w:leftChars="0"/>
              <w:jc w:val="both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235200" cy="1005840"/>
                  <wp:effectExtent l="0" t="0" r="0" b="10160"/>
                  <wp:docPr id="16" name="图片 16" descr="IMG_20240627_160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627_1605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20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4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2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错例一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（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见左图X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eastAsia="zh-CN"/>
              </w:rPr>
              <w:t>）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正确率（81.89 ）%，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default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主要错因：习作的主要扣分原因在于学生对于“成长”的把握不到位，选择的事例不够代表性，难以体现自我成长中的改变。部分学生扣分较多，问题在于叙事主体偏离，“成长”的主要描写对象应该在于“我”，部分学生重点描写出现偏离，不能以第一人称叙述自己的成长。个别学生习作偏离现实，描述夸张，文章结构平淡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N/>
              <w:bidi w:val="0"/>
              <w:spacing w:line="400" w:lineRule="atLeast"/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</w:rPr>
              <w:t>改进建议：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1.平时教学中多培养学生通过口语交际表达自己的思想，把知识融会贯通，鼓励学生多说，训练他们的表达能力。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br w:type="textWrapping"/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2.多阅读优秀作文，优秀文章，要善于积累课内、课外的好词好句。加强对文章主题、叙事过程、叙事顺序的理解，并能学以致用。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br w:type="textWrapping"/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3.加强学生写作技巧的训练。学会引用古诗文，运用怡当的修辞手法使句子更生动。还可以将学生写得好的作业本等展示给同学欣赏。</w:t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br w:type="textWrapping"/>
            </w:r>
            <w:r>
              <w:rPr>
                <w:rFonts w:hint="eastAsia" w:ascii="楷体_GB2312" w:hAnsi="楷体_GB2312" w:eastAsia="楷体_GB2312" w:cs="楷体_GB2312"/>
                <w:bCs/>
                <w:color w:val="000000"/>
                <w:sz w:val="28"/>
                <w:szCs w:val="28"/>
                <w:lang w:val="en-US" w:eastAsia="zh-CN"/>
              </w:rPr>
              <w:t>4.训练学生合理分配做题时间，平时在课堂上多练习写课堂作文，让学生模拟考试时的情景进行习作，有助于学生在考试时写作文时间的把握和知识的运用。</w:t>
            </w:r>
          </w:p>
        </w:tc>
      </w:tr>
    </w:tbl>
    <w:p>
      <w:pPr>
        <w:spacing w:line="360" w:lineRule="auto"/>
        <w:rPr>
          <w:rFonts w:ascii="黑体" w:hAnsi="黑体" w:eastAsia="黑体" w:cs="KTJ+ZMeDVZ-2"/>
          <w:b/>
          <w:color w:val="000000"/>
          <w:kern w:val="0"/>
          <w:sz w:val="24"/>
        </w:rPr>
      </w:pPr>
      <w:r>
        <w:rPr>
          <w:rFonts w:hint="eastAsia" w:ascii="宋体" w:hAnsi="宋体" w:eastAsia="宋体" w:cs="宋体"/>
          <w:sz w:val="24"/>
        </w:rPr>
        <w:t xml:space="preserve"> </w:t>
      </w:r>
      <w:r>
        <w:rPr>
          <w:rFonts w:hint="eastAsia" w:ascii="黑体" w:hAnsi="黑体" w:eastAsia="黑体" w:cs="KTJ+ZMeDVZ-2"/>
          <w:b/>
          <w:color w:val="000000"/>
          <w:kern w:val="0"/>
          <w:sz w:val="24"/>
        </w:rPr>
        <w:t>三、测试成效分析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（一）取得的经验及成效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1.紧扣词语表及必背课文，夯实基础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五语组本次看拼音写词语有14个班正确率90%以上，大半班级正确率95%以上。按课文内容填空所有班级都在95%以上。</w:t>
      </w:r>
    </w:p>
    <w:p>
      <w:pPr>
        <w:numPr>
          <w:numId w:val="0"/>
        </w:numPr>
        <w:spacing w:line="360" w:lineRule="auto"/>
        <w:ind w:leftChars="0"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2.阅读答题方法指导略有成效。</w:t>
      </w:r>
    </w:p>
    <w:p>
      <w:pPr>
        <w:numPr>
          <w:numId w:val="0"/>
        </w:numPr>
        <w:spacing w:line="360" w:lineRule="auto"/>
        <w:ind w:leftChars="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 xml:space="preserve">    阅读理解中“联系上下文解释词语”和“联系上下文理解句子”“赏析句子”这类典型题型正确率平均都在80%以上，说明经过日常教学及复习阶段的针对性训练，学生对典型题型的答题方法掌握的较扎实。</w:t>
      </w:r>
    </w:p>
    <w:p>
      <w:pPr>
        <w:spacing w:line="360" w:lineRule="auto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（二）教学问题分析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1.非连文本的正确率平均仅有75%，学生习惯了从文本中提取信息，不会提炼概括。还有些学生一看到大段文字的材料，没有耐心进行信息检索。</w:t>
      </w:r>
    </w:p>
    <w:p>
      <w:pPr>
        <w:spacing w:line="360" w:lineRule="auto"/>
        <w:ind w:firstLine="480" w:firstLineChars="20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2.习作有背诵现成范文或套作现象。平时扎实练习的写事作文，学生不会根据题意点题。</w:t>
      </w:r>
    </w:p>
    <w:p>
      <w:pPr>
        <w:numPr>
          <w:ilvl w:val="0"/>
          <w:numId w:val="6"/>
        </w:numPr>
        <w:spacing w:line="360" w:lineRule="auto"/>
        <w:rPr>
          <w:rFonts w:hint="eastAsia" w:ascii="黑体" w:hAnsi="黑体" w:eastAsia="黑体" w:cs="KTJ+ZMeDVZ-2"/>
          <w:b/>
          <w:color w:val="000000"/>
          <w:kern w:val="0"/>
          <w:sz w:val="24"/>
        </w:rPr>
      </w:pPr>
      <w:r>
        <w:rPr>
          <w:rFonts w:hint="eastAsia" w:ascii="黑体" w:hAnsi="黑体" w:eastAsia="黑体" w:cs="KTJ+ZMeDVZ-2"/>
          <w:b/>
          <w:color w:val="000000"/>
          <w:kern w:val="0"/>
          <w:sz w:val="24"/>
        </w:rPr>
        <w:t>基于数据分析的教学改进建议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1.平时教学中多进行阅读训练，通过多种方法培养学生认真审题的习惯，注重审题方法的指导并进行针对性训练，避免答非所问，导致失分。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2.加强审题训练，通过变化语调读题，标记关键等方法，培养学生的审题能力，提高学生审题的准确性。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3.平时教学中多培养学生通过口语交际表达自己的思想，把知识融会贯通，鼓励学生多说，训练他们的表达能力。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4.多阅读优秀作文，优秀文章，要善于积累课内、课外的好词好句。加强对文章主题、叙事过程、叙事顺序的理解，并能学以致用。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5.加强学生写作技巧的训练。学会引用古诗文，运用怡当的修辞手法使句子更生动。还可以将学生写得好的作业本等展示给同学欣赏。</w:t>
      </w:r>
    </w:p>
    <w:p>
      <w:pPr>
        <w:spacing w:line="360" w:lineRule="auto"/>
        <w:ind w:firstLine="480" w:firstLineChars="200"/>
        <w:rPr>
          <w:rFonts w:hint="eastAsia" w:ascii="黑体" w:hAnsi="黑体" w:eastAsia="黑体" w:cs="KTJ+ZMeDVZ-2"/>
          <w:b/>
          <w:color w:val="000000"/>
          <w:kern w:val="0"/>
          <w:sz w:val="24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6.训练学生合理分配做题时间，平时在课堂上多练习写课堂作文，让学生模拟考试时的情景进行习作，有助于学生在考试时写作文时间的把握和知识的运用。</w:t>
      </w:r>
    </w:p>
    <w:p>
      <w:pPr>
        <w:spacing w:line="360" w:lineRule="auto"/>
        <w:rPr>
          <w:rFonts w:ascii="黑体" w:hAnsi="黑体" w:eastAsia="黑体" w:cs="KTJ+ZMeDVZ-2"/>
          <w:b/>
          <w:color w:val="000000"/>
          <w:kern w:val="0"/>
          <w:sz w:val="24"/>
        </w:rPr>
      </w:pPr>
      <w:r>
        <w:rPr>
          <w:rFonts w:ascii="黑体" w:hAnsi="黑体" w:eastAsia="黑体" w:cs="KTJ+ZMeDVZ-2"/>
          <w:b/>
          <w:color w:val="000000"/>
          <w:kern w:val="0"/>
          <w:sz w:val="24"/>
        </w:rPr>
        <w:t>五、对本次命题的建议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1.可以预留卷面分，高年级孩子越来越不注意书写的工整和卷面整洁。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 w:ascii="宋体" w:hAnsi="宋体" w:eastAsia="宋体" w:cs="宋体"/>
          <w:sz w:val="24"/>
          <w:lang w:val="en-US" w:eastAsia="zh-CN"/>
        </w:rPr>
        <w:t>2.受4页卷面的限制，试卷整体字体偏小，不利于学生阅读。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lang w:val="en-US" w:eastAsia="zh-CN"/>
        </w:rPr>
        <w:t xml:space="preserve">     </w:t>
      </w:r>
      <w:r>
        <w:rPr>
          <w:rFonts w:ascii="黑体" w:hAnsi="黑体" w:eastAsia="黑体" w:cs="KTJ+ZMeDVZ-2"/>
          <w:b w:val="0"/>
          <w:bCs/>
          <w:color w:val="000000"/>
          <w:kern w:val="0"/>
          <w:sz w:val="24"/>
        </w:rPr>
        <w:t xml:space="preserve">                                     </w:t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TJ+ZMeDVZ-2">
    <w:altName w:val="黑体"/>
    <w:panose1 w:val="00000000000000000000"/>
    <w:charset w:val="86"/>
    <w:family w:val="auto"/>
    <w:pitch w:val="default"/>
    <w:sig w:usb0="00000000" w:usb1="00000000" w:usb2="0000001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8D65CE"/>
    <w:multiLevelType w:val="singleLevel"/>
    <w:tmpl w:val="9D8D65CE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1532527"/>
    <w:multiLevelType w:val="singleLevel"/>
    <w:tmpl w:val="A1532527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CD47BDB4"/>
    <w:multiLevelType w:val="singleLevel"/>
    <w:tmpl w:val="CD47BDB4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CFEB8D10"/>
    <w:multiLevelType w:val="singleLevel"/>
    <w:tmpl w:val="CFEB8D1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50E9EE11"/>
    <w:multiLevelType w:val="singleLevel"/>
    <w:tmpl w:val="50E9EE11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54E19C4F"/>
    <w:multiLevelType w:val="singleLevel"/>
    <w:tmpl w:val="54E19C4F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NiNjA5NTU4OWM3YTViNDA5NjMxMjU3YzNjOGNiODkifQ=="/>
  </w:docVars>
  <w:rsids>
    <w:rsidRoot w:val="1481250E"/>
    <w:rsid w:val="03D35D2C"/>
    <w:rsid w:val="044014FE"/>
    <w:rsid w:val="04470791"/>
    <w:rsid w:val="0FFF56D6"/>
    <w:rsid w:val="1481250E"/>
    <w:rsid w:val="1A5F4E79"/>
    <w:rsid w:val="1EC07C5E"/>
    <w:rsid w:val="29FE76B6"/>
    <w:rsid w:val="2C4E2ECE"/>
    <w:rsid w:val="2D4969CF"/>
    <w:rsid w:val="40490051"/>
    <w:rsid w:val="413E755D"/>
    <w:rsid w:val="469455FB"/>
    <w:rsid w:val="47AC65ED"/>
    <w:rsid w:val="643A7CE1"/>
    <w:rsid w:val="6A162576"/>
    <w:rsid w:val="76633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438</Words>
  <Characters>774</Characters>
  <Lines>0</Lines>
  <Paragraphs>0</Paragraphs>
  <TotalTime>9</TotalTime>
  <ScaleCrop>false</ScaleCrop>
  <LinksUpToDate>false</LinksUpToDate>
  <CharactersWithSpaces>873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2024-06-24T06:09:00Z</dcterms:created>
  <dc:creator>阳阳</dc:creator>
  <cp:lastModifiedBy>采撷阳光的男孩</cp:lastModifiedBy>
  <dcterms:modified xsi:type="dcterms:W3CDTF">2024-06-27T14:09:39Z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103B395F97634C95B7D2413EEFCDA039_13</vt:lpwstr>
  </property>
</Properties>
</file>