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爱绘画 爱阅读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具有较好的美术专业技能和教育教学能力，能较好的完成教学任务。</w:t>
            </w:r>
          </w:p>
          <w:p w14:paraId="3E8A1908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对于不同年龄段的学生，能够因材施教，激发他们的学习兴趣。</w:t>
            </w:r>
          </w:p>
          <w:p w14:paraId="31FC380D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善于与学生沟通交流，能够营造积极向上的课堂氛围。</w:t>
            </w:r>
          </w:p>
          <w:p w14:paraId="5909707E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积极参与各类教育教学活动，善于思考，汲取精华，课后注重反思。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在美术学术研究方面，还需要不断提升自己的研究能力和论文写作能力。</w:t>
            </w:r>
          </w:p>
          <w:p w14:paraId="7BF46AA7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对于一些先进的美术教育理念和方法，还需要不断学习和实践，提升教学水平。</w:t>
            </w:r>
          </w:p>
          <w:p w14:paraId="046BBCCE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在课程开发方面，还需要进一步拓展自己视野，开发更具特色的美术课程。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主观因素：有畏难情绪，抗压能力差，没有坚持性。</w:t>
            </w:r>
          </w:p>
          <w:p w14:paraId="3E82EBDE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客观因素：外出学习以及公开课的机会有限。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基本功国画、手工等方面需要专业指导。</w:t>
            </w:r>
          </w:p>
          <w:p w14:paraId="3D167D88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有更多公开课展示的机会。</w:t>
            </w:r>
          </w:p>
          <w:p w14:paraId="2E843DFA">
            <w:pPr>
              <w:spacing w:line="36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3、论文以及课题方面的指导。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9FA4407">
            <w:pPr>
              <w:numPr>
                <w:ilvl w:val="0"/>
                <w:numId w:val="4"/>
              </w:numPr>
              <w:spacing w:line="360" w:lineRule="exact"/>
              <w:ind w:firstLine="482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争取评优课、基本功等比赛的获奖。</w:t>
            </w:r>
            <w:r>
              <w:rPr>
                <w:rFonts w:hint="eastAsia"/>
                <w:sz w:val="24"/>
              </w:rPr>
              <w:t>加强基本功和教</w:t>
            </w:r>
            <w:r>
              <w:rPr>
                <w:rFonts w:hint="eastAsia"/>
                <w:sz w:val="24"/>
                <w:lang w:val="en-US" w:eastAsia="zh-CN"/>
              </w:rPr>
              <w:t>学</w:t>
            </w:r>
            <w:r>
              <w:rPr>
                <w:rFonts w:hint="eastAsia"/>
                <w:sz w:val="24"/>
              </w:rPr>
              <w:t>技能的学习和实践，不断提高自己的教学水平和能力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通过参加专业培训、观摩优秀教师教学、阅读相</w:t>
            </w:r>
            <w:r>
              <w:rPr>
                <w:rFonts w:hint="eastAsia"/>
                <w:sz w:val="24"/>
                <w:lang w:val="en-US" w:eastAsia="zh-CN"/>
              </w:rPr>
              <w:t>关</w:t>
            </w:r>
            <w:r>
              <w:rPr>
                <w:rFonts w:hint="eastAsia"/>
                <w:sz w:val="24"/>
              </w:rPr>
              <w:t>书籍和文章等方式不断学习和掌握新的教学技能和教学方法。</w:t>
            </w:r>
          </w:p>
          <w:p w14:paraId="363B447B">
            <w:pPr>
              <w:numPr>
                <w:ilvl w:val="0"/>
                <w:numId w:val="4"/>
              </w:numPr>
              <w:spacing w:line="360" w:lineRule="exact"/>
              <w:ind w:firstLine="482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积极撰写或发表论文。</w:t>
            </w:r>
            <w:r>
              <w:rPr>
                <w:rFonts w:hint="eastAsia"/>
                <w:sz w:val="24"/>
              </w:rPr>
              <w:t>加强对学生的个体差异和需求的关注和研究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探</w:t>
            </w:r>
            <w:r>
              <w:rPr>
                <w:rFonts w:hint="eastAsia"/>
                <w:sz w:val="24"/>
              </w:rPr>
              <w:t>索因材施教和个性化教学的方法和策略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通过课堂观察、学生作品评价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聊天</w:t>
            </w:r>
            <w:r>
              <w:rPr>
                <w:rFonts w:hint="eastAsia"/>
                <w:sz w:val="24"/>
              </w:rPr>
              <w:t>等方式及时了解和掌握学生的学习情况和反馈意见，调整自己的教学策略和方法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并累计素材，撰写论文。</w:t>
            </w:r>
          </w:p>
          <w:p w14:paraId="39C5D185">
            <w:pPr>
              <w:numPr>
                <w:ilvl w:val="0"/>
                <w:numId w:val="4"/>
              </w:numPr>
              <w:spacing w:line="360" w:lineRule="exact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参与课题（微课题）研究。</w:t>
            </w:r>
            <w:r>
              <w:rPr>
                <w:rFonts w:hint="eastAsia"/>
                <w:sz w:val="24"/>
              </w:rPr>
              <w:t>积极参与课题研究和项目合作，</w:t>
            </w:r>
            <w:r>
              <w:rPr>
                <w:rFonts w:hint="eastAsia"/>
                <w:sz w:val="24"/>
                <w:lang w:val="en-US" w:eastAsia="zh-CN"/>
              </w:rPr>
              <w:t>探索</w:t>
            </w:r>
            <w:r>
              <w:rPr>
                <w:rFonts w:hint="eastAsia"/>
                <w:sz w:val="24"/>
              </w:rPr>
              <w:t>有效的美</w:t>
            </w:r>
            <w:r>
              <w:rPr>
                <w:rFonts w:hint="eastAsia"/>
                <w:sz w:val="24"/>
                <w:lang w:val="en-US" w:eastAsia="zh-CN"/>
              </w:rPr>
              <w:t>术教育模式和方法，</w:t>
            </w:r>
            <w:r>
              <w:rPr>
                <w:rFonts w:hint="eastAsia"/>
                <w:sz w:val="24"/>
              </w:rPr>
              <w:t>提高自己的科研能力和学术水平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结合教学实践和教学需求，选定</w:t>
            </w:r>
            <w:r>
              <w:rPr>
                <w:rFonts w:hint="eastAsia"/>
                <w:sz w:val="24"/>
                <w:lang w:val="en-US" w:eastAsia="zh-CN"/>
              </w:rPr>
              <w:t>合适</w:t>
            </w:r>
            <w:r>
              <w:rPr>
                <w:rFonts w:hint="eastAsia"/>
                <w:sz w:val="24"/>
              </w:rPr>
              <w:t>的研究课题或项目，进行深</w:t>
            </w:r>
            <w:r>
              <w:rPr>
                <w:rFonts w:hint="eastAsia"/>
                <w:sz w:val="24"/>
                <w:lang w:val="en-US" w:eastAsia="zh-CN"/>
              </w:rPr>
              <w:t>入</w:t>
            </w:r>
            <w:r>
              <w:rPr>
                <w:rFonts w:hint="eastAsia"/>
                <w:sz w:val="24"/>
              </w:rPr>
              <w:t>研究和实践</w:t>
            </w:r>
            <w:r>
              <w:rPr>
                <w:rFonts w:hint="eastAsia"/>
                <w:sz w:val="24"/>
                <w:lang w:val="en-US" w:eastAsia="zh-CN"/>
              </w:rPr>
              <w:t>探索。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1、撰写论文≥1篇</w:t>
            </w:r>
          </w:p>
          <w:p w14:paraId="69914AB4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67D9645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3、参与微课题研究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0E2C639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6734069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3、积极参与课题研究，向有经验的老师请教和学习科研方法。</w:t>
            </w:r>
          </w:p>
          <w:p w14:paraId="1506536D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4504B06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117EAFC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A24C93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1、撰写论文≥1篇</w:t>
            </w:r>
          </w:p>
          <w:p w14:paraId="284AB98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1D0C310E"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3、参与微课题研究4、积极参加各种比赛</w:t>
            </w:r>
          </w:p>
        </w:tc>
        <w:tc>
          <w:tcPr>
            <w:tcW w:w="2700" w:type="dxa"/>
            <w:vAlign w:val="center"/>
          </w:tcPr>
          <w:p w14:paraId="30C3525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485DBE9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7A7B0489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锻炼基本功</w:t>
            </w:r>
          </w:p>
          <w:p w14:paraId="2A831D85"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4、选择合适的课题进行独立研究，积极寻求专家指导和支持。</w:t>
            </w:r>
          </w:p>
        </w:tc>
        <w:tc>
          <w:tcPr>
            <w:tcW w:w="3561" w:type="dxa"/>
          </w:tcPr>
          <w:p w14:paraId="53AC724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02C63EF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129F589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4BCA222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6F6C1F4F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200FB97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1、撰写论文≥1篇</w:t>
            </w:r>
          </w:p>
          <w:p w14:paraId="7942ED8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2、公开课≥1节</w:t>
            </w:r>
          </w:p>
          <w:p w14:paraId="578B1FE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3、积极参加各种比赛</w:t>
            </w:r>
          </w:p>
        </w:tc>
        <w:tc>
          <w:tcPr>
            <w:tcW w:w="2700" w:type="dxa"/>
            <w:vAlign w:val="center"/>
          </w:tcPr>
          <w:p w14:paraId="1791A937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1、积极申报</w:t>
            </w:r>
          </w:p>
          <w:p w14:paraId="7786F69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2、开展读书计划</w:t>
            </w:r>
          </w:p>
          <w:p w14:paraId="722AECDF">
            <w:pPr>
              <w:spacing w:line="300" w:lineRule="exact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锻炼基本功，尤其是国画和手工类。</w:t>
            </w:r>
          </w:p>
        </w:tc>
        <w:tc>
          <w:tcPr>
            <w:tcW w:w="3561" w:type="dxa"/>
            <w:vAlign w:val="center"/>
          </w:tcPr>
          <w:p w14:paraId="65E980D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论文获奖或者发表期刊</w:t>
            </w:r>
          </w:p>
          <w:p w14:paraId="158A138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公开课展示</w:t>
            </w:r>
          </w:p>
          <w:p w14:paraId="57A811B2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微课题申报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读书计划</w:t>
            </w:r>
            <w:r>
              <w:rPr>
                <w:rFonts w:hint="eastAsia"/>
                <w:sz w:val="24"/>
                <w:lang w:val="en-US" w:eastAsia="zh-CN"/>
              </w:rPr>
              <w:t>；进行分类读书计划，全方位学习，开阔视野，并做好读书笔记。具体书目列表大致如下：</w:t>
            </w:r>
          </w:p>
          <w:p w14:paraId="6A9DDDC0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学科教学书籍：《美术学科大单元教学问答与案例》《儿童的美术语言》《美术课为什么要这么上》《中小学美术教学论》</w:t>
            </w:r>
          </w:p>
          <w:p w14:paraId="3FBD48E1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心理健康教育书籍：《认知觉醒：开启自我改变的原动力》《读懂孩子的情绪》《整体养育》《哈佛心理课》</w:t>
            </w:r>
          </w:p>
          <w:p w14:paraId="4C1801D5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学科融合类书籍：《教师的语言力》《课堂观察 走向专业的听评课》《深度学习与学科融合：中小学美术单元化教学案例集》</w:t>
            </w:r>
          </w:p>
          <w:p w14:paraId="4D95A6A2">
            <w:pPr>
              <w:spacing w:line="300" w:lineRule="exact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微课题：核心素养背景下小学美术评价体系的构建与应用</w:t>
            </w:r>
          </w:p>
          <w:p w14:paraId="4ACDDFDF">
            <w:p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撰写相关论文或者发表论文</w:t>
            </w:r>
          </w:p>
          <w:p w14:paraId="0CD9B4D2"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30D262F6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 w14:paraId="0162361D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美术社团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校园文化建设参与者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C7E30C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加强自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管理</w:t>
            </w:r>
          </w:p>
          <w:p w14:paraId="684E9D1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制定详细的学习计划和时间表，合理安排工作和学习时间，确保各项任务的顺利完成。同时，注重自激励和调整心态，保持积极向上的工作状态。</w:t>
            </w:r>
          </w:p>
          <w:p w14:paraId="3B97A91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积极寻求外部支持</w:t>
            </w:r>
          </w:p>
          <w:p w14:paraId="529C17E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主动参加向有经验的教师请教和学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习。同时，积极争取外出学习和活动的机会，拓宽自己的视野和知识面。</w:t>
            </w:r>
          </w:p>
          <w:p w14:paraId="4421B56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加强团队合作与交流</w:t>
            </w:r>
          </w:p>
          <w:p w14:paraId="56B6B85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注重与同事的交流与合作分享自己的经验和成果。积极参与团队内部的学术交流活动和教学研讨活动，促进团队成员的共同成长和进步。</w:t>
            </w:r>
          </w:p>
          <w:p w14:paraId="2F4E9E1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建立成果反馈机制</w:t>
            </w:r>
          </w:p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定期对自己的教育教学和科研工作进行反思和总建立成果反馈机制。通过收集同事、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朋友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的反馈意见和建议，及时发现问题并进行改进和调整。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CAA1D"/>
    <w:multiLevelType w:val="singleLevel"/>
    <w:tmpl w:val="976CAA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B54A3F"/>
    <w:multiLevelType w:val="singleLevel"/>
    <w:tmpl w:val="06B54A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3D72534"/>
    <w:multiLevelType w:val="singleLevel"/>
    <w:tmpl w:val="33D725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48542C"/>
    <w:multiLevelType w:val="singleLevel"/>
    <w:tmpl w:val="3A4854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BF25569"/>
    <w:rsid w:val="0C184061"/>
    <w:rsid w:val="0F150294"/>
    <w:rsid w:val="0F456B7D"/>
    <w:rsid w:val="10C9331F"/>
    <w:rsid w:val="11BB75EB"/>
    <w:rsid w:val="18583C3C"/>
    <w:rsid w:val="194470DE"/>
    <w:rsid w:val="19492E7A"/>
    <w:rsid w:val="1C8212BB"/>
    <w:rsid w:val="1D6848BB"/>
    <w:rsid w:val="1DEB523A"/>
    <w:rsid w:val="1FFD6448"/>
    <w:rsid w:val="203D3D59"/>
    <w:rsid w:val="20D12129"/>
    <w:rsid w:val="2115589C"/>
    <w:rsid w:val="21EF07BD"/>
    <w:rsid w:val="22330C7D"/>
    <w:rsid w:val="262D4A31"/>
    <w:rsid w:val="26DD23BF"/>
    <w:rsid w:val="282A09F6"/>
    <w:rsid w:val="29A13798"/>
    <w:rsid w:val="2B76669A"/>
    <w:rsid w:val="2C547F8B"/>
    <w:rsid w:val="2C663D82"/>
    <w:rsid w:val="2E0B122E"/>
    <w:rsid w:val="30E862A3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5C8A682F"/>
    <w:rsid w:val="5FE0694F"/>
    <w:rsid w:val="621B3211"/>
    <w:rsid w:val="6240004D"/>
    <w:rsid w:val="628C73A9"/>
    <w:rsid w:val="62E41763"/>
    <w:rsid w:val="632048BD"/>
    <w:rsid w:val="6456554A"/>
    <w:rsid w:val="66A53274"/>
    <w:rsid w:val="672E78FB"/>
    <w:rsid w:val="67F87EA2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E67887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1595</Words>
  <Characters>1633</Characters>
  <Lines>4</Lines>
  <Paragraphs>13</Paragraphs>
  <TotalTime>8</TotalTime>
  <ScaleCrop>false</ScaleCrop>
  <LinksUpToDate>false</LinksUpToDate>
  <CharactersWithSpaces>1874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我还是小蘑菇。</cp:lastModifiedBy>
  <cp:lastPrinted>2018-09-19T12:22:00Z</cp:lastPrinted>
  <dcterms:modified xsi:type="dcterms:W3CDTF">2024-12-12T06:45:47Z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DF5024F929CF477CA15BFD426A79B237_13</vt:lpwstr>
  </property>
</Properties>
</file>