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EA2EB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关于钱丽娟卓越教师成长营第二十一次活动的通知</w:t>
      </w:r>
    </w:p>
    <w:p w14:paraId="1ECFA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有关中小学： </w:t>
      </w:r>
    </w:p>
    <w:p w14:paraId="2F8D5C5B">
      <w:pPr>
        <w:pStyle w:val="7"/>
        <w:framePr w:wrap="auto" w:vAnchor="margin" w:hAnchor="text" w:yAlign="inline"/>
        <w:spacing w:line="400" w:lineRule="exact"/>
        <w:ind w:firstLine="480" w:firstLineChars="200"/>
        <w:rPr>
          <w:rFonts w:hint="default" w:ascii="宋体" w:hAnsi="宋体" w:eastAsia="宋体" w:cs="宋体"/>
          <w:b/>
          <w:sz w:val="24"/>
          <w:szCs w:val="24"/>
          <w:lang w:val="en-US"/>
        </w:rPr>
      </w:pPr>
      <w:r>
        <w:rPr>
          <w:rFonts w:hint="eastAsia"/>
          <w:sz w:val="24"/>
          <w:szCs w:val="32"/>
          <w:lang w:val="en-US" w:eastAsia="zh-CN"/>
        </w:rPr>
        <w:t>为更好发挥乡村生活场景的育人功能，推进江苏省基础教育前瞻性教学改革实验重大项目研究工作，推进成长营教师对非认知能力的认识，钱丽娟卓越教师成长营定于9月26日开展第二十一次研修活动，现将有关事项通知如下：</w:t>
      </w:r>
    </w:p>
    <w:p w14:paraId="5957A7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活动时间</w:t>
      </w:r>
    </w:p>
    <w:p w14:paraId="6FB7D848"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0-1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</w:p>
    <w:p w14:paraId="3EB29C2A">
      <w:pPr>
        <w:pStyle w:val="3"/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活动地点</w:t>
      </w:r>
    </w:p>
    <w:p w14:paraId="2DCA0225">
      <w:pPr>
        <w:numPr>
          <w:ilvl w:val="0"/>
          <w:numId w:val="0"/>
        </w:numPr>
        <w:ind w:leftChars="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腾讯会议</w:t>
      </w:r>
    </w:p>
    <w:p w14:paraId="06320B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  <w:t>活动内容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3543"/>
        <w:gridCol w:w="2841"/>
      </w:tblGrid>
      <w:tr w14:paraId="55F4D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8" w:type="dxa"/>
          </w:tcPr>
          <w:p w14:paraId="5419A8B5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3543" w:type="dxa"/>
          </w:tcPr>
          <w:p w14:paraId="757DC71B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2841" w:type="dxa"/>
          </w:tcPr>
          <w:p w14:paraId="3C2572EE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专家/责任人</w:t>
            </w:r>
          </w:p>
        </w:tc>
      </w:tr>
      <w:tr w14:paraId="780EB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138" w:type="dxa"/>
            <w:vMerge w:val="restart"/>
          </w:tcPr>
          <w:p w14:paraId="41BE16F2"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19：00—19：20</w:t>
            </w:r>
          </w:p>
        </w:tc>
        <w:tc>
          <w:tcPr>
            <w:tcW w:w="3543" w:type="dxa"/>
          </w:tcPr>
          <w:p w14:paraId="021A9A2C"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阅读分享</w:t>
            </w:r>
          </w:p>
        </w:tc>
        <w:tc>
          <w:tcPr>
            <w:tcW w:w="2841" w:type="dxa"/>
            <w:vMerge w:val="restart"/>
          </w:tcPr>
          <w:p w14:paraId="2BF811F1"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徐艳秋</w:t>
            </w:r>
          </w:p>
        </w:tc>
      </w:tr>
      <w:tr w14:paraId="537C7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8" w:type="dxa"/>
            <w:vMerge w:val="continue"/>
          </w:tcPr>
          <w:p w14:paraId="632886DE"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43" w:type="dxa"/>
          </w:tcPr>
          <w:p w14:paraId="18834C30"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线上研讨</w:t>
            </w:r>
          </w:p>
        </w:tc>
        <w:tc>
          <w:tcPr>
            <w:tcW w:w="2841" w:type="dxa"/>
            <w:vMerge w:val="continue"/>
          </w:tcPr>
          <w:p w14:paraId="182D7608">
            <w:pPr>
              <w:pStyle w:val="3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1F2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8" w:type="dxa"/>
          </w:tcPr>
          <w:p w14:paraId="53C28523"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19：30—20：30</w:t>
            </w:r>
          </w:p>
        </w:tc>
        <w:tc>
          <w:tcPr>
            <w:tcW w:w="3543" w:type="dxa"/>
          </w:tcPr>
          <w:p w14:paraId="32B70C2F"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专家点评</w:t>
            </w:r>
          </w:p>
        </w:tc>
        <w:tc>
          <w:tcPr>
            <w:tcW w:w="2841" w:type="dxa"/>
          </w:tcPr>
          <w:p w14:paraId="0748328F"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肖媛媛  钱丽娟</w:t>
            </w:r>
          </w:p>
        </w:tc>
      </w:tr>
    </w:tbl>
    <w:p w14:paraId="1E2E8EB5">
      <w:pPr>
        <w:pStyle w:val="3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3398DC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  <w:t>营员工作安排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2907"/>
      </w:tblGrid>
      <w:tr w14:paraId="5F4C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105" w:type="dxa"/>
            <w:gridSpan w:val="2"/>
            <w:noWrap w:val="0"/>
            <w:vAlign w:val="top"/>
          </w:tcPr>
          <w:p w14:paraId="66F58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钱丽娟卓越成长营第1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次活动分工</w:t>
            </w:r>
          </w:p>
        </w:tc>
      </w:tr>
      <w:tr w14:paraId="1C366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198" w:type="dxa"/>
            <w:noWrap w:val="0"/>
            <w:vAlign w:val="top"/>
          </w:tcPr>
          <w:p w14:paraId="7612E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拍照摄像</w:t>
            </w:r>
          </w:p>
        </w:tc>
        <w:tc>
          <w:tcPr>
            <w:tcW w:w="2907" w:type="dxa"/>
            <w:noWrap w:val="0"/>
            <w:vAlign w:val="top"/>
          </w:tcPr>
          <w:p w14:paraId="7A399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于烽</w:t>
            </w:r>
            <w:bookmarkStart w:id="0" w:name="_GoBack"/>
            <w:bookmarkEnd w:id="0"/>
          </w:p>
        </w:tc>
      </w:tr>
      <w:tr w14:paraId="5AAB4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198" w:type="dxa"/>
            <w:noWrap w:val="0"/>
            <w:vAlign w:val="top"/>
          </w:tcPr>
          <w:p w14:paraId="38974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宣传报道</w:t>
            </w:r>
          </w:p>
        </w:tc>
        <w:tc>
          <w:tcPr>
            <w:tcW w:w="2907" w:type="dxa"/>
            <w:noWrap w:val="0"/>
            <w:vAlign w:val="top"/>
          </w:tcPr>
          <w:p w14:paraId="4D6A2F44">
            <w:pPr>
              <w:keepNext w:val="0"/>
              <w:keepLines w:val="0"/>
              <w:pageBreakBefore w:val="0"/>
              <w:tabs>
                <w:tab w:val="center" w:pos="13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徐艳秋</w:t>
            </w:r>
          </w:p>
        </w:tc>
      </w:tr>
      <w:tr w14:paraId="67CDD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198" w:type="dxa"/>
            <w:noWrap w:val="0"/>
            <w:vAlign w:val="top"/>
          </w:tcPr>
          <w:p w14:paraId="69BB1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微信推送</w:t>
            </w:r>
          </w:p>
        </w:tc>
        <w:tc>
          <w:tcPr>
            <w:tcW w:w="2907" w:type="dxa"/>
            <w:noWrap w:val="0"/>
            <w:vAlign w:val="top"/>
          </w:tcPr>
          <w:p w14:paraId="2C99D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郭一凡</w:t>
            </w:r>
          </w:p>
        </w:tc>
      </w:tr>
      <w:tr w14:paraId="23ED4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8" w:type="dxa"/>
            <w:noWrap w:val="0"/>
            <w:vAlign w:val="top"/>
          </w:tcPr>
          <w:p w14:paraId="44D6C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网站建设</w:t>
            </w:r>
          </w:p>
        </w:tc>
        <w:tc>
          <w:tcPr>
            <w:tcW w:w="2907" w:type="dxa"/>
            <w:noWrap w:val="0"/>
            <w:vAlign w:val="top"/>
          </w:tcPr>
          <w:p w14:paraId="6ABEA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谢菲菲</w:t>
            </w:r>
          </w:p>
        </w:tc>
      </w:tr>
    </w:tbl>
    <w:p w14:paraId="00A89D6A">
      <w:pPr>
        <w:wordWrap/>
        <w:spacing w:line="360" w:lineRule="auto"/>
        <w:jc w:val="righ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常州市新北区钱丽娟卓越教师成长营</w:t>
      </w:r>
    </w:p>
    <w:p w14:paraId="35B01700">
      <w:pPr>
        <w:pStyle w:val="7"/>
        <w:framePr w:wrap="auto" w:vAnchor="margin" w:hAnchor="text" w:yAlign="inline"/>
        <w:spacing w:line="276" w:lineRule="auto"/>
        <w:ind w:firstLine="5760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zh-TW" w:eastAsia="zh-TW"/>
        </w:rPr>
        <w:t>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4年9月20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TW"/>
        </w:rPr>
        <w:t>日</w:t>
      </w:r>
    </w:p>
    <w:p w14:paraId="71A0E565"/>
    <w:p w14:paraId="1BEB3A31"/>
    <w:p w14:paraId="1EB630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ACB277"/>
    <w:multiLevelType w:val="singleLevel"/>
    <w:tmpl w:val="20ACB2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OTVkN2ZmMjVjM2EzNTY4MWNhM2I2OGZkMjAyOTMifQ=="/>
  </w:docVars>
  <w:rsids>
    <w:rsidRoot w:val="5EB02D14"/>
    <w:rsid w:val="0B33442F"/>
    <w:rsid w:val="17BB6387"/>
    <w:rsid w:val="1A2621F5"/>
    <w:rsid w:val="2DAC78FB"/>
    <w:rsid w:val="311100E2"/>
    <w:rsid w:val="4A062BE2"/>
    <w:rsid w:val="5BC776B1"/>
    <w:rsid w:val="5EB0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289</Characters>
  <Lines>0</Lines>
  <Paragraphs>0</Paragraphs>
  <TotalTime>14</TotalTime>
  <ScaleCrop>false</ScaleCrop>
  <LinksUpToDate>false</LinksUpToDate>
  <CharactersWithSpaces>292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2024-09-09T05:25:00Z</dcterms:created>
  <dc:creator>爱阳光的秦小北</dc:creator>
  <cp:lastModifiedBy>精灵</cp:lastModifiedBy>
  <dcterms:modified xsi:type="dcterms:W3CDTF">2024-10-13T11:09:47Z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C5D018A82B4645F99A8DE4A33C66D192_11</vt:lpwstr>
  </property>
</Properties>
</file>