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11.27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bookmarkEnd w:id="0"/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5DE2181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5位小朋友病假,2位事假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所有的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进入班级，主动和老师打招呼，选择自己喜欢的游戏并自主进餐。今天午餐时小朋友们都能自己主动把饭吃掉，个别小朋友有些挑食。今天宝贝们都睡着了。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6DF536D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06E876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137160</wp:posOffset>
            </wp:positionV>
            <wp:extent cx="1993265" cy="2216150"/>
            <wp:effectExtent l="0" t="0" r="3175" b="889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有的宝宝在建构区搭建停车场、在桌面建构玩雪花片、在生活区玩有趣的蛋托、在科探区玩彩色玻片、在娃娃家给宝宝烧饭、在益智区玩捉虫游戏、穿衣服游戏。</w:t>
      </w:r>
    </w:p>
    <w:p w14:paraId="7A517A3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950D24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99B7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230505</wp:posOffset>
            </wp:positionV>
            <wp:extent cx="2929890" cy="3907155"/>
            <wp:effectExtent l="0" t="0" r="11430" b="9525"/>
            <wp:wrapSquare wrapText="bothSides"/>
            <wp:docPr id="2" name="图片 2" descr="IMG_20241127_13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27_1315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美术：彩色波点</w:t>
      </w:r>
    </w:p>
    <w:p w14:paraId="072E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这是一节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偏欣赏的美术</w:t>
      </w:r>
      <w:r>
        <w:rPr>
          <w:rFonts w:hint="eastAsia" w:ascii="宋体" w:hAnsi="宋体" w:eastAsia="宋体" w:cs="宋体"/>
          <w:bCs/>
          <w:sz w:val="21"/>
          <w:szCs w:val="21"/>
        </w:rPr>
        <w:t>活动，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包含了欣赏感知后拓印操作活动。草间弥生是一位著名的日本艺术家，以其独特的波点艺术风格而闻名于世。活动中</w:t>
      </w:r>
      <w:r>
        <w:rPr>
          <w:rFonts w:hint="eastAsia" w:ascii="宋体" w:hAnsi="宋体" w:eastAsia="宋体" w:cs="宋体"/>
          <w:bCs/>
          <w:sz w:val="21"/>
          <w:szCs w:val="21"/>
        </w:rPr>
        <w:t>主要引导幼儿在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欣赏波点作品中感知波点装饰具有独特的艺术美</w:t>
      </w:r>
      <w:r>
        <w:rPr>
          <w:rFonts w:hint="eastAsia" w:ascii="宋体" w:hAnsi="宋体" w:eastAsia="宋体" w:cs="宋体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感知波点通过不同的排列组合创造出丰富多样的视觉效果，</w:t>
      </w:r>
      <w:r>
        <w:rPr>
          <w:rFonts w:hint="eastAsia" w:ascii="宋体" w:hAnsi="宋体" w:eastAsia="宋体" w:cs="宋体"/>
          <w:bCs/>
          <w:sz w:val="21"/>
          <w:szCs w:val="21"/>
        </w:rPr>
        <w:t>激发幼儿对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波点</w:t>
      </w:r>
      <w:r>
        <w:rPr>
          <w:rFonts w:hint="eastAsia" w:ascii="宋体" w:hAnsi="宋体" w:eastAsia="宋体" w:cs="宋体"/>
          <w:bCs/>
          <w:sz w:val="21"/>
          <w:szCs w:val="21"/>
        </w:rPr>
        <w:t>画的兴趣。</w:t>
      </w:r>
    </w:p>
    <w:p w14:paraId="269E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幼儿发展分析：</w:t>
      </w:r>
    </w:p>
    <w:p w14:paraId="2CE2640B">
      <w:pPr>
        <w:spacing w:line="360" w:lineRule="exact"/>
        <w:ind w:firstLine="42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小班幼儿通常对鲜艳、明亮的色彩更感兴趣，如红色、黄色、蓝色等。在绘画过程中，小班幼儿往往比较大胆，会随意选择自己喜欢的颜色进行涂抹，不考虑色彩的搭配和协调性。根据小班幼儿对色彩的表现特点，本次活动让他们大胆地运用色彩进行创作，进而培养他们的创造力和审美能力。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val="en-US"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欣赏艺术家的波点作品，感受不同色彩、大小的波点装饰的艺术美。</w:t>
      </w:r>
      <w:r>
        <w:rPr>
          <w:rFonts w:hint="eastAsia"/>
          <w:u w:val="single"/>
        </w:rPr>
        <w:t>顾奕凯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能大胆表达自己对波点的感受，体验创作的乐趣。</w:t>
      </w: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杂酱面、山药排骨汤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水果是甜橙、冬枣。大部分小朋友们能叠好湿巾，安静进餐。今天所有小朋友都可以吃完自己的面条。饭后大部分小朋友们能在老师的提醒下做好饭后洗手、漱口、擦嘴巴。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D2C9A5A"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Theme="minorEastAsia"/>
          <w:lang w:val="en-US" w:eastAsia="zh-CN"/>
        </w:rPr>
        <w:t>【重要提醒‼️】各位家长，大家好！常州市气象台今天发布寒潮蓝色预警信号：预计11月25-27日我市大部分地区48小时最低气温将下降8℃左右，27-28日早晨最低气温可达3～4℃，并伴有5～7级的偏北大风。请家长朋友给宝贝们适当添加衣物，早上不要过早到校，注意防寒保暖。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2.动态上的照片，仅作为老师观察时的随拍，并不是所有孩子的照片都会呈现。</w:t>
      </w:r>
    </w:p>
    <w:p w14:paraId="32951388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3.最近天气变冷，大家注意孩子的衣物。</w:t>
      </w:r>
    </w:p>
    <w:p w14:paraId="426B824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7779BB"/>
    <w:rsid w:val="242D74E9"/>
    <w:rsid w:val="24D359A6"/>
    <w:rsid w:val="28901C9C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C37EBA"/>
    <w:rsid w:val="33E06EAE"/>
    <w:rsid w:val="360F1920"/>
    <w:rsid w:val="36985BB8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A4E660B"/>
    <w:rsid w:val="5B9756BF"/>
    <w:rsid w:val="5D327F67"/>
    <w:rsid w:val="5F5B3D80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0BC353C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1347</Characters>
  <Lines>12</Lines>
  <Paragraphs>3</Paragraphs>
  <TotalTime>1</TotalTime>
  <ScaleCrop>false</ScaleCrop>
  <LinksUpToDate>false</LinksUpToDate>
  <CharactersWithSpaces>1423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2024-11-27T05:20:50Z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55145089F0A5418EBA74701EF03A4CFA_13</vt:lpwstr>
  </property>
</Properties>
</file>