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B1AAB">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校园安全重点工作检查清单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148"/>
        <w:gridCol w:w="7374"/>
      </w:tblGrid>
      <w:tr w14:paraId="6305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0"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14:paraId="08D499AE">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黑体"/>
                <w:kern w:val="2"/>
                <w:sz w:val="24"/>
                <w:szCs w:val="24"/>
                <w:bdr w:val="none" w:color="auto" w:sz="0" w:space="0"/>
              </w:rPr>
            </w:pPr>
            <w:r>
              <w:rPr>
                <w:rFonts w:hint="eastAsia" w:ascii="黑体" w:hAnsi="宋体" w:eastAsia="黑体" w:cs="黑体"/>
                <w:b/>
                <w:bCs w:val="0"/>
                <w:kern w:val="2"/>
                <w:sz w:val="24"/>
                <w:szCs w:val="24"/>
                <w:bdr w:val="none" w:color="auto" w:sz="0" w:space="0"/>
                <w:lang w:val="en-US" w:eastAsia="zh-CN" w:bidi="ar"/>
              </w:rPr>
              <w:t>项目名称</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4446070E">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黑体"/>
                <w:kern w:val="2"/>
                <w:sz w:val="24"/>
                <w:szCs w:val="24"/>
                <w:bdr w:val="none" w:color="auto" w:sz="0" w:space="0"/>
              </w:rPr>
            </w:pPr>
            <w:r>
              <w:rPr>
                <w:rFonts w:hint="eastAsia" w:ascii="黑体" w:hAnsi="宋体" w:eastAsia="黑体" w:cs="黑体"/>
                <w:b/>
                <w:bCs w:val="0"/>
                <w:kern w:val="2"/>
                <w:sz w:val="24"/>
                <w:szCs w:val="24"/>
                <w:bdr w:val="none" w:color="auto" w:sz="0" w:space="0"/>
                <w:lang w:val="en-US" w:eastAsia="zh-CN" w:bidi="ar"/>
              </w:rPr>
              <w:t>标准要求</w:t>
            </w:r>
          </w:p>
        </w:tc>
      </w:tr>
      <w:tr w14:paraId="32C7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center"/>
          </w:tcPr>
          <w:p w14:paraId="587432DC">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（一）</w:t>
            </w:r>
          </w:p>
          <w:p w14:paraId="189F225F">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黑体"/>
                <w:b/>
                <w:bCs w:val="0"/>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落实上级相关要求</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71E24EF7">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1.应及时贯彻落实上级安全工作相关要求，办公会研判学校当前存在的风险，并研制相应对策和措施。</w:t>
            </w:r>
          </w:p>
        </w:tc>
      </w:tr>
      <w:tr w14:paraId="10AD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27" w:type="dxa"/>
            <w:vMerge w:val="restart"/>
            <w:tcBorders>
              <w:top w:val="nil"/>
              <w:left w:val="single" w:color="auto" w:sz="4" w:space="0"/>
              <w:bottom w:val="single" w:color="auto" w:sz="4" w:space="0"/>
              <w:right w:val="single" w:color="auto" w:sz="4" w:space="0"/>
            </w:tcBorders>
            <w:shd w:val="clear"/>
            <w:vAlign w:val="center"/>
          </w:tcPr>
          <w:p w14:paraId="7470D896">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（二）</w:t>
            </w:r>
          </w:p>
          <w:p w14:paraId="2F3962B6">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校园安防建设</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7717E446">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2.学校视频监控和一键报警系统应接入公安系统并正常运转，周界报警应正常运转（幼儿园应安装门禁系统或访客系统）。</w:t>
            </w:r>
          </w:p>
        </w:tc>
      </w:tr>
      <w:tr w14:paraId="6B1B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02318398">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4E9ACC3F">
            <w:pPr>
              <w:pStyle w:val="2"/>
              <w:keepNext w:val="0"/>
              <w:keepLines w:val="0"/>
              <w:widowControl/>
              <w:suppressLineNumbers w:val="0"/>
              <w:spacing w:before="0" w:beforeAutospacing="0" w:after="0" w:afterAutospacing="0" w:line="320" w:lineRule="exact"/>
              <w:ind w:left="0" w:leftChars="0" w:right="0" w:rightChars="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3.校园视频监控应有效监控重要点位；视频监控存储时间误差不得超过10秒。视频探头应完好、指向与设置方向一致、不得被遮挡。</w:t>
            </w:r>
          </w:p>
        </w:tc>
      </w:tr>
      <w:tr w14:paraId="5ECC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1B793437">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047A443B">
            <w:pPr>
              <w:pStyle w:val="2"/>
              <w:keepNext w:val="0"/>
              <w:keepLines w:val="0"/>
              <w:widowControl/>
              <w:suppressLineNumbers w:val="0"/>
              <w:spacing w:before="0" w:beforeAutospacing="0" w:after="0" w:afterAutospacing="0" w:line="320" w:lineRule="exact"/>
              <w:ind w:left="0" w:leftChars="0" w:right="0" w:rightChars="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4.车辆可通行的学生出入口应安装升降柱，若未安装，应有石墩、拒马等防冲撞设施，且年底前安装完成的计划。防冲撞设施应处于设防状态，且间距不得大于1.2米，应能覆盖出入口对应的范围。</w:t>
            </w:r>
          </w:p>
        </w:tc>
      </w:tr>
      <w:tr w14:paraId="644B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nil"/>
              <w:left w:val="single" w:color="auto" w:sz="4" w:space="0"/>
              <w:bottom w:val="single" w:color="auto" w:sz="4" w:space="0"/>
              <w:right w:val="single" w:color="auto" w:sz="4" w:space="0"/>
            </w:tcBorders>
            <w:shd w:val="clear"/>
            <w:vAlign w:val="center"/>
          </w:tcPr>
          <w:p w14:paraId="5369F39E">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（三）</w:t>
            </w:r>
          </w:p>
          <w:p w14:paraId="7EDA516E">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门岗</w:t>
            </w:r>
          </w:p>
          <w:p w14:paraId="5CBFF6AF">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管理</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3D3D1571">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5.门卫防卫器械“八件套”即对讲机、防暴头盔、橡胶棒、钢叉、防护盾牌、防刺背心、防割手套、强光手电筒应齐全，摆放应便于拿取，保安人员应能熟练使用。</w:t>
            </w:r>
          </w:p>
        </w:tc>
      </w:tr>
      <w:tr w14:paraId="6D5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75251050">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54846333">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6.保安应为专业保安公司人员，且应持证上岗，不得超过60周岁，能够熟练使用防护器械，门卫保安不得采用女保安。保安在岗期间，必须戴钢盔、穿防刺服、携带橡胶棒，</w:t>
            </w:r>
          </w:p>
        </w:tc>
      </w:tr>
      <w:tr w14:paraId="5CAB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27" w:type="dxa"/>
            <w:vMerge w:val="continue"/>
            <w:tcBorders>
              <w:top w:val="nil"/>
              <w:left w:val="single" w:color="auto" w:sz="4" w:space="0"/>
              <w:bottom w:val="single" w:color="auto" w:sz="4" w:space="0"/>
              <w:right w:val="single" w:color="auto" w:sz="4" w:space="0"/>
            </w:tcBorders>
            <w:shd w:val="clear"/>
            <w:vAlign w:val="center"/>
          </w:tcPr>
          <w:p w14:paraId="2033CB44">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64928B79">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7.外来车辆、人员应登记，登记台账齐全</w:t>
            </w:r>
          </w:p>
        </w:tc>
      </w:tr>
      <w:tr w14:paraId="26D0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14:paraId="5238CCEE">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（四）</w:t>
            </w:r>
          </w:p>
          <w:p w14:paraId="08928E88">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护学岗</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6D97DF3C">
            <w:pPr>
              <w:pStyle w:val="2"/>
              <w:keepNext w:val="0"/>
              <w:keepLines w:val="0"/>
              <w:widowControl/>
              <w:suppressLineNumbers w:val="0"/>
              <w:spacing w:before="0" w:beforeAutospacing="0" w:after="0" w:afterAutospacing="0" w:line="320" w:lineRule="exact"/>
              <w:ind w:left="0" w:leftChars="0" w:right="0" w:rightChars="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8.应落实《常州市中小学、幼儿园“护学岗”工作规定》，学校应有值班干部参与护学岗安排计划，保安必须戴钢盔、穿防刺服、携带橡胶棒，其他防护器械应放置在校门口易取部位。</w:t>
            </w:r>
          </w:p>
        </w:tc>
      </w:tr>
      <w:tr w14:paraId="640D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nil"/>
              <w:left w:val="single" w:color="auto" w:sz="4" w:space="0"/>
              <w:bottom w:val="single" w:color="auto" w:sz="4" w:space="0"/>
              <w:right w:val="single" w:color="auto" w:sz="4" w:space="0"/>
            </w:tcBorders>
            <w:shd w:val="clear"/>
            <w:vAlign w:val="center"/>
          </w:tcPr>
          <w:p w14:paraId="06955AE7">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（五）</w:t>
            </w:r>
          </w:p>
          <w:p w14:paraId="76ACB4D4">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危化品</w:t>
            </w:r>
          </w:p>
          <w:p w14:paraId="18AAAD10">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黑体"/>
                <w:b/>
                <w:bCs w:val="0"/>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管理</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26D3D40D">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9.危化品储存室应符合“三双三防”要求：即“双人保管、双人领用、双人双锁”“防盗门窗、入侵报警、视频监控”；应将易燃易爆、剧毒、易制毒药品入（柜）库。</w:t>
            </w:r>
          </w:p>
        </w:tc>
      </w:tr>
      <w:tr w14:paraId="1347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27" w:type="dxa"/>
            <w:vMerge w:val="continue"/>
            <w:tcBorders>
              <w:top w:val="nil"/>
              <w:left w:val="single" w:color="auto" w:sz="4" w:space="0"/>
              <w:bottom w:val="single" w:color="auto" w:sz="4" w:space="0"/>
              <w:right w:val="single" w:color="auto" w:sz="4" w:space="0"/>
            </w:tcBorders>
            <w:shd w:val="clear"/>
            <w:vAlign w:val="center"/>
          </w:tcPr>
          <w:p w14:paraId="6182A321">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46B96334">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10.危化品的采购、运输、存储、使用、转移、处置等环节应全过程监管，建立分布档案和使用台帐；化学废弃物应按规定处置。</w:t>
            </w:r>
          </w:p>
        </w:tc>
      </w:tr>
      <w:tr w14:paraId="5D11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27" w:type="dxa"/>
            <w:vMerge w:val="continue"/>
            <w:tcBorders>
              <w:top w:val="nil"/>
              <w:left w:val="single" w:color="auto" w:sz="4" w:space="0"/>
              <w:bottom w:val="single" w:color="auto" w:sz="4" w:space="0"/>
              <w:right w:val="single" w:color="auto" w:sz="4" w:space="0"/>
            </w:tcBorders>
            <w:shd w:val="clear"/>
            <w:vAlign w:val="center"/>
          </w:tcPr>
          <w:p w14:paraId="08F35813">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594B0C75">
            <w:pPr>
              <w:pStyle w:val="2"/>
              <w:keepNext w:val="0"/>
              <w:keepLines w:val="0"/>
              <w:widowControl/>
              <w:suppressLineNumbers w:val="0"/>
              <w:spacing w:before="0" w:beforeAutospacing="0" w:after="0" w:afterAutospacing="0" w:line="320" w:lineRule="exact"/>
              <w:ind w:left="0" w:leftChars="0" w:right="0" w:rightChars="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11.危化品存储、使用登记应符合规定，使用后实验用品应及时入（柜）库，台账库存应与（柜）库存量一致。</w:t>
            </w:r>
          </w:p>
        </w:tc>
      </w:tr>
      <w:tr w14:paraId="3A6E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nil"/>
              <w:left w:val="single" w:color="auto" w:sz="4" w:space="0"/>
              <w:bottom w:val="single" w:color="auto" w:sz="4" w:space="0"/>
              <w:right w:val="single" w:color="auto" w:sz="4" w:space="0"/>
            </w:tcBorders>
            <w:shd w:val="clear"/>
            <w:vAlign w:val="center"/>
          </w:tcPr>
          <w:p w14:paraId="06CD48AD">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（六）</w:t>
            </w:r>
          </w:p>
          <w:p w14:paraId="703B0488">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消防</w:t>
            </w:r>
          </w:p>
          <w:p w14:paraId="2C6468D4">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r>
              <w:rPr>
                <w:rFonts w:hint="eastAsia" w:ascii="仿宋_GB2312" w:hAnsi="Calibri" w:eastAsia="仿宋_GB2312" w:cs="仿宋_GB2312"/>
                <w:b/>
                <w:bCs/>
                <w:kern w:val="2"/>
                <w:sz w:val="24"/>
                <w:szCs w:val="24"/>
                <w:bdr w:val="none" w:color="auto" w:sz="0" w:space="0"/>
                <w:lang w:val="en-US" w:eastAsia="zh-CN" w:bidi="ar"/>
              </w:rPr>
              <w:t>安全</w:t>
            </w:r>
          </w:p>
          <w:p w14:paraId="2732EF1C">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b/>
                <w:bCs/>
                <w:kern w:val="2"/>
                <w:sz w:val="24"/>
                <w:szCs w:val="24"/>
                <w:bdr w:val="none" w:color="auto" w:sz="0" w:space="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7FF9DF51">
            <w:pPr>
              <w:pStyle w:val="2"/>
              <w:keepNext w:val="0"/>
              <w:keepLines w:val="0"/>
              <w:widowControl/>
              <w:suppressLineNumbers w:val="0"/>
              <w:spacing w:before="0" w:beforeAutospacing="0" w:after="0" w:afterAutospacing="0" w:line="320" w:lineRule="exact"/>
              <w:ind w:left="0" w:right="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12.学校应落实《中小学校、幼儿园消防安全十项规定》，建立全员岗位消防安全职责。</w:t>
            </w:r>
          </w:p>
        </w:tc>
      </w:tr>
      <w:tr w14:paraId="65F2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41D55DA5">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341F5015">
            <w:pPr>
              <w:pStyle w:val="2"/>
              <w:keepNext w:val="0"/>
              <w:keepLines w:val="0"/>
              <w:widowControl/>
              <w:suppressLineNumbers w:val="0"/>
              <w:spacing w:before="0" w:beforeAutospacing="0" w:after="0" w:afterAutospacing="0" w:line="320" w:lineRule="exact"/>
              <w:ind w:left="0" w:right="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13.应委托具备从业条件的消防技术服务机构或者消防设施施工安装企业进行维护保养。制定消防设施维护、保养计划，每月对消防设施保养、检测，确保完好有效，并记录。</w:t>
            </w:r>
          </w:p>
        </w:tc>
      </w:tr>
      <w:tr w14:paraId="0DC1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23182946">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656AF718">
            <w:pPr>
              <w:pStyle w:val="2"/>
              <w:keepNext w:val="0"/>
              <w:keepLines w:val="0"/>
              <w:widowControl/>
              <w:suppressLineNumbers w:val="0"/>
              <w:spacing w:before="0" w:beforeAutospacing="0" w:after="0" w:afterAutospacing="0" w:line="320" w:lineRule="exact"/>
              <w:ind w:left="0" w:right="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14.图书馆、教学楼、实验楼和集体宿舍的外窗不得设置影响消防逃生和灭火救援的防盗窗等障碍物，疏散走道不得设置影响安全疏散的门。疏散走道、安全出口、疏散楼梯间应保持畅通，不得堆放易燃可燃物品、锁闭出口、设置障碍物；应急照明灯、疏散指示标志、应急广播应完好有效，不被遮挡。</w:t>
            </w:r>
          </w:p>
        </w:tc>
      </w:tr>
      <w:tr w14:paraId="2A34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15948E16">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3A5BC6AC">
            <w:pPr>
              <w:pStyle w:val="2"/>
              <w:keepNext w:val="0"/>
              <w:keepLines w:val="0"/>
              <w:widowControl/>
              <w:suppressLineNumbers w:val="0"/>
              <w:spacing w:before="0" w:beforeAutospacing="0" w:after="0" w:afterAutospacing="0" w:line="320" w:lineRule="exact"/>
              <w:ind w:left="0" w:right="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15..宿舍严禁使用电炉、电取暖、热得快等大功率电气设备。</w:t>
            </w:r>
          </w:p>
        </w:tc>
      </w:tr>
      <w:tr w14:paraId="2A95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0B4F79C8">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11CFB85D">
            <w:pPr>
              <w:pStyle w:val="2"/>
              <w:keepNext w:val="0"/>
              <w:keepLines w:val="0"/>
              <w:widowControl/>
              <w:suppressLineNumbers w:val="0"/>
              <w:spacing w:before="0" w:beforeAutospacing="0" w:after="0" w:afterAutospacing="0" w:line="320" w:lineRule="exact"/>
              <w:ind w:left="0" w:right="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16.电动自行车应当设置集中存放和充电场所，场所不得设置在室内，并配备必要的消防设施。充电设施应具备充满自动断电、定时断电、充电故障自动断电以及过载、短路、漏电保护等功能。</w:t>
            </w:r>
          </w:p>
        </w:tc>
      </w:tr>
      <w:tr w14:paraId="7E84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6EB216E4">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2EFB7412">
            <w:pPr>
              <w:pStyle w:val="2"/>
              <w:keepNext w:val="0"/>
              <w:keepLines w:val="0"/>
              <w:widowControl/>
              <w:suppressLineNumbers w:val="0"/>
              <w:spacing w:before="0" w:beforeAutospacing="0" w:after="0" w:afterAutospacing="0" w:line="320" w:lineRule="exact"/>
              <w:ind w:left="0" w:right="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17.消控室值班人员应当应能熟练操作消防控制室设施设备。</w:t>
            </w:r>
          </w:p>
        </w:tc>
      </w:tr>
      <w:tr w14:paraId="00EA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3AEF50E8">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20FFEEB0">
            <w:pPr>
              <w:pStyle w:val="2"/>
              <w:keepNext w:val="0"/>
              <w:keepLines w:val="0"/>
              <w:widowControl/>
              <w:suppressLineNumbers w:val="0"/>
              <w:spacing w:before="0" w:beforeAutospacing="0" w:after="0" w:afterAutospacing="0" w:line="320" w:lineRule="exact"/>
              <w:ind w:left="0" w:right="0"/>
              <w:jc w:val="both"/>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18.制定灭火和应急疏散预案，各应急演练组组长及成员应熟悉各自岗位职责，每学年至少组织一次学生消防演练，宿舍、食堂（餐厅）、图书馆、展览馆、档案馆、会堂等校内消防安全重点单位应当按照灭火和应急疏散预案每半年至少组织一次消防演练。</w:t>
            </w:r>
          </w:p>
        </w:tc>
      </w:tr>
      <w:tr w14:paraId="4CD8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nil"/>
              <w:left w:val="single" w:color="auto" w:sz="4" w:space="0"/>
              <w:bottom w:val="single" w:color="auto" w:sz="4" w:space="0"/>
              <w:right w:val="single" w:color="auto" w:sz="4" w:space="0"/>
            </w:tcBorders>
            <w:shd w:val="clear"/>
            <w:vAlign w:val="center"/>
          </w:tcPr>
          <w:p w14:paraId="6F02CE93">
            <w:pPr>
              <w:pStyle w:val="2"/>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(七)</w:t>
            </w:r>
            <w:r>
              <w:rPr>
                <w:rFonts w:hint="default" w:ascii="Calibri" w:hAnsi="Calibri" w:eastAsia="宋体" w:cs="Calibri"/>
                <w:b/>
                <w:bCs/>
                <w:kern w:val="0"/>
                <w:sz w:val="24"/>
                <w:szCs w:val="24"/>
                <w:bdr w:val="none" w:color="auto" w:sz="0" w:space="0"/>
                <w:lang w:val="en-US" w:eastAsia="zh-CN" w:bidi="ar"/>
              </w:rPr>
              <w:t xml:space="preserve"> </w:t>
            </w:r>
          </w:p>
          <w:p w14:paraId="120F5386">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交通</w:t>
            </w:r>
          </w:p>
          <w:p w14:paraId="4E87312F">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安全</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6B5FAF98">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19.有校车的学校应开展乘坐校车学生专题安全教育和交通安全教育，建立台账资料。</w:t>
            </w:r>
          </w:p>
        </w:tc>
      </w:tr>
      <w:tr w14:paraId="2775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71D80938">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0778ED6D">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20.有校车的学校应与校车公司签订安全管理责任书，建立健全学生乘车信息台帐；应制定应急方案并开展应急演练。</w:t>
            </w:r>
          </w:p>
        </w:tc>
      </w:tr>
      <w:tr w14:paraId="46B9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04DB8B4A">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6ACF3B92">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21.校园门口应设置减速带，应做到人车分流；校园内交通设施、标志应齐全，应设置减速、限速标志，学生活动区域应设置防冲撞设施。</w:t>
            </w:r>
          </w:p>
        </w:tc>
      </w:tr>
      <w:tr w14:paraId="318E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27" w:type="dxa"/>
            <w:vMerge w:val="continue"/>
            <w:tcBorders>
              <w:top w:val="nil"/>
              <w:left w:val="single" w:color="auto" w:sz="4" w:space="0"/>
              <w:bottom w:val="single" w:color="auto" w:sz="4" w:space="0"/>
              <w:right w:val="single" w:color="auto" w:sz="4" w:space="0"/>
            </w:tcBorders>
            <w:shd w:val="clear"/>
            <w:vAlign w:val="center"/>
          </w:tcPr>
          <w:p w14:paraId="5574A868">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3859AA9C">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22.学校组织师生集体外出活动，应制定活动安全方案和应急预案，并经办公会讨论通过，向主管教育部门报备。不得使用非服务公司等不合规定车辆，外出前，加强师生安全教育。</w:t>
            </w:r>
          </w:p>
        </w:tc>
      </w:tr>
      <w:tr w14:paraId="61B6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nil"/>
              <w:left w:val="single" w:color="auto" w:sz="4" w:space="0"/>
              <w:bottom w:val="single" w:color="auto" w:sz="4" w:space="0"/>
              <w:right w:val="single" w:color="auto" w:sz="4" w:space="0"/>
            </w:tcBorders>
            <w:shd w:val="clear"/>
            <w:vAlign w:val="center"/>
          </w:tcPr>
          <w:p w14:paraId="750591BD">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（八）</w:t>
            </w:r>
          </w:p>
          <w:p w14:paraId="68E33D00">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涉校涉师生隐患排查</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2FD0E80F">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23.应协调属地政府、公安、市场监管等部门排查校园周边突出隐患，排查肇事肇祸以及对社会不满等重点人群.</w:t>
            </w:r>
          </w:p>
        </w:tc>
      </w:tr>
      <w:tr w14:paraId="0910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2D1F5DC8">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1213A85E">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24.应开展涉校涉师生矛盾纠纷排查，建立台账清单，及时向属地公安报备。</w:t>
            </w:r>
          </w:p>
        </w:tc>
      </w:tr>
      <w:tr w14:paraId="69E8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5A5D8167">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57FBB5B4">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25.应重点关注长期缺课、厌学等学生实时动态。</w:t>
            </w:r>
          </w:p>
        </w:tc>
      </w:tr>
      <w:tr w14:paraId="0F2A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center"/>
          </w:tcPr>
          <w:p w14:paraId="10DA9384">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(九)</w:t>
            </w:r>
          </w:p>
          <w:p w14:paraId="38CD66B8">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学生身心</w:t>
            </w:r>
          </w:p>
          <w:p w14:paraId="6D24EE3E">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健康</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4E667149">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26.应开展一次全覆盖的学生心理健康摸排，深入排查特殊家庭、特异体质、特殊心理、特殊行为、特殊处境（留守儿童、残疾学生、考试不及格、延期毕业、就业受挫等）需要重点关注的学生，登记在册。对排查中纳入“红橙黄”三级预警的重点学生，应形成“一生一策”干预方案。</w:t>
            </w:r>
          </w:p>
        </w:tc>
      </w:tr>
      <w:tr w14:paraId="5A36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nil"/>
              <w:left w:val="single" w:color="auto" w:sz="4" w:space="0"/>
              <w:bottom w:val="single" w:color="auto" w:sz="4" w:space="0"/>
              <w:right w:val="single" w:color="auto" w:sz="4" w:space="0"/>
            </w:tcBorders>
            <w:shd w:val="clear"/>
            <w:vAlign w:val="center"/>
          </w:tcPr>
          <w:p w14:paraId="6FB58E9A">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（十）</w:t>
            </w:r>
          </w:p>
          <w:p w14:paraId="10644B9F">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学生欺凌</w:t>
            </w:r>
          </w:p>
          <w:p w14:paraId="0D63B27F">
            <w:pPr>
              <w:pStyle w:val="2"/>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kern w:val="0"/>
                <w:sz w:val="24"/>
                <w:szCs w:val="24"/>
                <w:bdr w:val="none" w:color="auto" w:sz="0" w:space="0"/>
              </w:rPr>
            </w:pPr>
            <w:r>
              <w:rPr>
                <w:rFonts w:hint="eastAsia" w:ascii="仿宋_GB2312" w:hAnsi="Calibri" w:eastAsia="仿宋_GB2312" w:cs="仿宋_GB2312"/>
                <w:b/>
                <w:bCs/>
                <w:kern w:val="0"/>
                <w:sz w:val="24"/>
                <w:szCs w:val="24"/>
                <w:bdr w:val="none" w:color="auto" w:sz="0" w:space="0"/>
                <w:lang w:val="en-US" w:eastAsia="zh-CN" w:bidi="ar"/>
              </w:rPr>
              <w:t>治理</w:t>
            </w: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7EEE3448">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000000"/>
                <w:kern w:val="0"/>
                <w:sz w:val="24"/>
                <w:szCs w:val="24"/>
                <w:bdr w:val="none" w:color="auto" w:sz="0" w:space="0"/>
              </w:rPr>
            </w:pPr>
            <w:r>
              <w:rPr>
                <w:rFonts w:hint="eastAsia" w:ascii="仿宋_GB2312" w:hAnsi="Calibri" w:eastAsia="仿宋_GB2312" w:cs="仿宋_GB2312"/>
                <w:color w:val="000000"/>
                <w:kern w:val="0"/>
                <w:sz w:val="24"/>
                <w:szCs w:val="24"/>
                <w:bdr w:val="none" w:color="auto" w:sz="0" w:space="0"/>
                <w:lang w:val="en-US" w:eastAsia="zh-CN" w:bidi="ar"/>
              </w:rPr>
              <w:t>27.学校应建立学校学生欺凌治理委员会，健全完善学生欺凌防治各项制度，制定学生欺凌预防干预、应急处置、教育惩戒等各项工作举措和工作流程，明确学校各岗位欺凌防治工作职责。</w:t>
            </w:r>
          </w:p>
        </w:tc>
      </w:tr>
      <w:tr w14:paraId="4667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52A7AC1D">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48B3E2E7">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kern w:val="0"/>
                <w:sz w:val="24"/>
                <w:szCs w:val="24"/>
                <w:bdr w:val="none" w:color="auto" w:sz="0" w:space="0"/>
              </w:rPr>
            </w:pPr>
            <w:r>
              <w:rPr>
                <w:rFonts w:hint="eastAsia" w:ascii="仿宋_GB2312" w:hAnsi="Calibri" w:eastAsia="仿宋_GB2312" w:cs="仿宋_GB2312"/>
                <w:kern w:val="0"/>
                <w:sz w:val="24"/>
                <w:szCs w:val="24"/>
                <w:bdr w:val="none" w:color="auto" w:sz="0" w:space="0"/>
                <w:lang w:val="en-US" w:eastAsia="zh-CN" w:bidi="ar"/>
              </w:rPr>
              <w:t>28.学校应畅通防欺凌举报受理渠道，在学校醒目位置设置信箱，并张贴公布投诉举报电话，电话需保持畅通。</w:t>
            </w:r>
          </w:p>
        </w:tc>
      </w:tr>
      <w:tr w14:paraId="6917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6976ACAC">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5E0CE5D6">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kern w:val="0"/>
                <w:sz w:val="24"/>
                <w:szCs w:val="24"/>
                <w:bdr w:val="none" w:color="auto" w:sz="0" w:space="0"/>
              </w:rPr>
            </w:pPr>
            <w:r>
              <w:rPr>
                <w:rFonts w:hint="eastAsia" w:ascii="仿宋_GB2312" w:hAnsi="Calibri" w:eastAsia="仿宋_GB2312" w:cs="仿宋_GB2312"/>
                <w:kern w:val="0"/>
                <w:sz w:val="24"/>
                <w:szCs w:val="24"/>
                <w:bdr w:val="none" w:color="auto" w:sz="0" w:space="0"/>
                <w:lang w:val="en-US" w:eastAsia="zh-CN" w:bidi="ar"/>
              </w:rPr>
              <w:t>29.学校应分别组织学生、教师、家长集中观看教师发展学院制作的学生欺凌防治录播课。</w:t>
            </w:r>
          </w:p>
        </w:tc>
      </w:tr>
      <w:tr w14:paraId="2A1B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nil"/>
              <w:left w:val="single" w:color="auto" w:sz="4" w:space="0"/>
              <w:bottom w:val="single" w:color="auto" w:sz="4" w:space="0"/>
              <w:right w:val="single" w:color="auto" w:sz="4" w:space="0"/>
            </w:tcBorders>
            <w:shd w:val="clear"/>
            <w:vAlign w:val="center"/>
          </w:tcPr>
          <w:p w14:paraId="6239AC02">
            <w:pPr>
              <w:rPr>
                <w:rFonts w:hint="default" w:ascii="Times New Roman" w:hAnsi="Times New Roman" w:cs="Times New Roman"/>
                <w:sz w:val="20"/>
                <w:szCs w:val="20"/>
              </w:rPr>
            </w:pPr>
          </w:p>
        </w:tc>
        <w:tc>
          <w:tcPr>
            <w:tcW w:w="12710" w:type="dxa"/>
            <w:tcBorders>
              <w:top w:val="single" w:color="auto" w:sz="4" w:space="0"/>
              <w:left w:val="single" w:color="auto" w:sz="4" w:space="0"/>
              <w:bottom w:val="single" w:color="auto" w:sz="4" w:space="0"/>
              <w:right w:val="single" w:color="auto" w:sz="4" w:space="0"/>
            </w:tcBorders>
            <w:shd w:val="clear"/>
            <w:vAlign w:val="center"/>
          </w:tcPr>
          <w:p w14:paraId="539C0628">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kern w:val="0"/>
                <w:sz w:val="24"/>
                <w:szCs w:val="24"/>
                <w:bdr w:val="none" w:color="auto" w:sz="0" w:space="0"/>
              </w:rPr>
            </w:pPr>
            <w:r>
              <w:rPr>
                <w:rFonts w:hint="eastAsia" w:ascii="仿宋_GB2312" w:hAnsi="Calibri" w:eastAsia="仿宋_GB2312" w:cs="仿宋_GB2312"/>
                <w:kern w:val="0"/>
                <w:sz w:val="24"/>
                <w:szCs w:val="24"/>
                <w:bdr w:val="none" w:color="auto" w:sz="0" w:space="0"/>
                <w:lang w:val="en-US" w:eastAsia="zh-CN" w:bidi="ar"/>
              </w:rPr>
              <w:t>30.学校应重点关注留守儿童、流动儿童、隐性辍学学生和家庭监护责任落实不到位、家庭教育不良群体学生，以及因身体条件、家庭背景或学习成绩等原因处于弱势或者特殊地位的学生，全面摸清底数，做到一人一档、一生一案、一类一专班。</w:t>
            </w:r>
          </w:p>
        </w:tc>
      </w:tr>
    </w:tbl>
    <w:p w14:paraId="1528816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ZGJkOGEzMGI0N2UzZjI0YWJmNDAwMTZiMDFjMDkifQ=="/>
  </w:docVars>
  <w:rsids>
    <w:rsidRoot w:val="3C4A2FC2"/>
    <w:rsid w:val="3C4A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2024-11-21T07:50:00Z</dcterms:created>
  <dc:creator>徐国平</dc:creator>
  <cp:lastModifiedBy>徐国平</cp:lastModifiedBy>
  <dcterms:modified xsi:type="dcterms:W3CDTF">2024-11-21T07:50:54Z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DA84A531E47A4834B3B348041FB7EE28_11</vt:lpwstr>
  </property>
</Properties>
</file>