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60433">
      <w:pPr>
        <w:keepNext w:val="0"/>
        <w:keepLines w:val="0"/>
        <w:widowControl/>
        <w:suppressLineNumbers w:val="0"/>
        <w:jc w:val="center"/>
        <w:textAlignment w:val="center"/>
        <w:rPr>
          <w:rFonts w:ascii="黑体" w:hAnsi="黑体" w:eastAsia="黑体" w:cs="黑体"/>
          <w:spacing w:val="10"/>
          <w:sz w:val="34"/>
          <w:szCs w:val="34"/>
        </w:rPr>
      </w:pPr>
      <w:r>
        <w:rPr>
          <w:rFonts w:ascii="黑体" w:hAnsi="黑体" w:eastAsia="黑体" w:cs="黑体"/>
          <w:spacing w:val="10"/>
          <w:sz w:val="34"/>
          <w:szCs w:val="34"/>
        </w:rPr>
        <w:t>体育与健康课程</w:t>
      </w:r>
      <w:r>
        <w:rPr>
          <w:rFonts w:ascii="黑体" w:hAnsi="黑体" w:eastAsia="黑体" w:cs="黑体"/>
          <w:spacing w:val="10"/>
          <w:sz w:val="34"/>
          <w:szCs w:val="34"/>
          <w:u w:val="thick"/>
        </w:rPr>
        <w:t>水平四</w:t>
      </w:r>
      <w:r>
        <w:rPr>
          <w:rFonts w:hint="eastAsia" w:ascii="黑体" w:hAnsi="黑体" w:eastAsia="黑体" w:cs="黑体"/>
          <w:spacing w:val="10"/>
          <w:sz w:val="34"/>
          <w:szCs w:val="34"/>
          <w:u w:val="thick"/>
          <w:lang w:val="en-US" w:eastAsia="zh-CN"/>
        </w:rPr>
        <w:t>健康教育</w:t>
      </w:r>
      <w:r>
        <w:rPr>
          <w:rFonts w:ascii="黑体" w:hAnsi="黑体" w:eastAsia="黑体" w:cs="黑体"/>
          <w:spacing w:val="10"/>
          <w:sz w:val="34"/>
          <w:szCs w:val="34"/>
        </w:rPr>
        <w:t>大单元教学计划</w:t>
      </w:r>
    </w:p>
    <w:p w14:paraId="3FDF5464">
      <w:pPr>
        <w:keepNext w:val="0"/>
        <w:keepLines w:val="0"/>
        <w:widowControl/>
        <w:suppressLineNumbers w:val="0"/>
        <w:jc w:val="center"/>
        <w:textAlignment w:val="center"/>
        <w:rPr>
          <w:rFonts w:hint="eastAsia" w:ascii="宋体" w:hAnsi="宋体" w:eastAsia="宋体" w:cs="宋体"/>
          <w:b w:val="0"/>
          <w:bCs w:val="0"/>
          <w:spacing w:val="10"/>
          <w:sz w:val="21"/>
          <w:szCs w:val="21"/>
          <w:lang w:val="en-US" w:eastAsia="zh-CN"/>
        </w:rPr>
      </w:pPr>
      <w:r>
        <w:rPr>
          <w:rFonts w:hint="eastAsia" w:ascii="宋体" w:hAnsi="宋体" w:eastAsia="宋体" w:cs="宋体"/>
          <w:b w:val="0"/>
          <w:bCs w:val="0"/>
          <w:spacing w:val="10"/>
          <w:sz w:val="21"/>
          <w:szCs w:val="21"/>
          <w:lang w:val="en-US" w:eastAsia="zh-CN"/>
        </w:rPr>
        <w:t>执教者：沈宇 新桥初级中学</w:t>
      </w:r>
    </w:p>
    <w:tbl>
      <w:tblPr>
        <w:tblStyle w:val="2"/>
        <w:tblW w:w="9900" w:type="dxa"/>
        <w:tblInd w:w="-3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7"/>
        <w:gridCol w:w="690"/>
        <w:gridCol w:w="1945"/>
        <w:gridCol w:w="900"/>
        <w:gridCol w:w="110"/>
        <w:gridCol w:w="1945"/>
        <w:gridCol w:w="1058"/>
        <w:gridCol w:w="2495"/>
      </w:tblGrid>
      <w:tr w14:paraId="2F36A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479D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学习</w:t>
            </w:r>
          </w:p>
          <w:p w14:paraId="3F9174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主题</w:t>
            </w:r>
          </w:p>
        </w:tc>
        <w:tc>
          <w:tcPr>
            <w:tcW w:w="2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B09C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乐享运动</w:t>
            </w:r>
          </w:p>
          <w:p w14:paraId="58D1E8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健康生活</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1FBB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实施</w:t>
            </w:r>
          </w:p>
          <w:p w14:paraId="07356A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学期</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353B5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7-9年级</w:t>
            </w:r>
          </w:p>
          <w:p w14:paraId="773959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6个学期</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D5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课时</w:t>
            </w:r>
          </w:p>
        </w:tc>
        <w:tc>
          <w:tcPr>
            <w:tcW w:w="2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0AE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r>
      <w:tr w14:paraId="67B67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0"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D744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单元概述</w:t>
            </w:r>
          </w:p>
        </w:tc>
        <w:tc>
          <w:tcPr>
            <w:tcW w:w="91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46D8F7C">
            <w:pPr>
              <w:keepNext w:val="0"/>
              <w:keepLines w:val="0"/>
              <w:pageBreakBefore w:val="0"/>
              <w:widowControl/>
              <w:suppressLineNumbers w:val="0"/>
              <w:kinsoku/>
              <w:wordWrap/>
              <w:overflowPunct/>
              <w:topLinePunct w:val="0"/>
              <w:autoSpaceDE/>
              <w:autoSpaceDN/>
              <w:bidi w:val="0"/>
              <w:adjustRightInd/>
              <w:snapToGrid/>
              <w:ind w:firstLine="440" w:firstLineChars="20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随着社会经济的持续发展，新的生产生活方式造成人们体育活动减少、生活节奏加快、心理压力增大，对包括青少年在内的人类健康造成了一定的负面影响。在我国青少年学生体质健康水平持续多年下降的背景下，体育与健康课程成为增进学生健康的重要途径。通过体育与健康课程中健康教育内容的学习，增强学生的健康意识，引导他们形成健康的生活方式。</w:t>
            </w:r>
          </w:p>
          <w:p w14:paraId="3C81DD02">
            <w:pPr>
              <w:keepNext w:val="0"/>
              <w:keepLines w:val="0"/>
              <w:pageBreakBefore w:val="0"/>
              <w:widowControl/>
              <w:suppressLineNumbers w:val="0"/>
              <w:kinsoku/>
              <w:wordWrap/>
              <w:overflowPunct/>
              <w:topLinePunct w:val="0"/>
              <w:autoSpaceDE/>
              <w:autoSpaceDN/>
              <w:bidi w:val="0"/>
              <w:adjustRightInd/>
              <w:snapToGrid/>
              <w:ind w:firstLine="440" w:firstLineChars="20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因此，健康行为与生活方式既是重要的课程目标，又是关键的核心内容。根据 7~9年级学生的特点和健康需要，针对水平四目标要求的"健康行为与生活方式"的内容主题，设计"乐享运动 健康生活"学习主题，意在通过主题的学习与运用，在培养学生体育锻炼意识与习惯的同时，树立科学健康观，进一步规范在个人卫生与保健、饮食、作息、用眼、形体等方面的健康行为，促进学生身心健康和社会适应的发展。</w:t>
            </w:r>
          </w:p>
        </w:tc>
      </w:tr>
      <w:tr w14:paraId="77884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5"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00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学情分析</w:t>
            </w:r>
          </w:p>
        </w:tc>
        <w:tc>
          <w:tcPr>
            <w:tcW w:w="91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465C01E">
            <w:pPr>
              <w:keepNext w:val="0"/>
              <w:keepLines w:val="0"/>
              <w:pageBreakBefore w:val="0"/>
              <w:widowControl/>
              <w:suppressLineNumbers w:val="0"/>
              <w:kinsoku/>
              <w:wordWrap/>
              <w:overflowPunct/>
              <w:topLinePunct w:val="0"/>
              <w:autoSpaceDE/>
              <w:autoSpaceDN/>
              <w:bidi w:val="0"/>
              <w:adjustRightInd/>
              <w:snapToGrid/>
              <w:ind w:firstLine="440" w:firstLineChars="20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9年级学生处于生理和心理发生快速变化的青春发育期，充足的营养摄入、积极的体育锻炼、规律的作息制度和良好的个人卫生等能满足各器官系统和身高体重等生长发育的需要，对学生身心健康的发展十分重要。7~9年级学生的认知和学习能力提升迅速；注意力的集中性和稳定性大为增强；由形象思维逐渐过渡到抽象思维，但全面性和分析性不强；自主意识和独立意识逐渐增强。7~9年级是价值观形成的关键期，也是生活方式形成的重要阶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通过小学阶段的学习生活，他们已经了解和掌握了合理营养、体育运动、个人卫生等方面的一些健康知识与技能，对健康和健康行为的内涵有了初步的认识，为初中阶段的学习奠定了基础；与此同时，他们尚未形成稳定的科学健康观和健康生活方式，容易受到包括社会、同伴中的不良习气影响，沾染不良嗜好，不仅损害身心健康、影响成长发育，甚至贻害终生。针对上述特点，制订了如下教学策略：(1）重视课内与课外的联系，引导学生将学到的健康知识与技能在生活和锻炼中加以运用，提升其实践操作能力；(2）鼓励学生在学习过程中积极参与、开展以小组为单位的合作与探究学习，在教师引导下发挥同伴教育的作用，形成健康行为的互相促进、共同发展；(3）积极开发、整合课程资源，提供多样化的健康教育活动内容，提升教育效果，加深学生对科学健康观和健康生活方式的理解、认识。</w:t>
            </w:r>
          </w:p>
        </w:tc>
      </w:tr>
      <w:tr w14:paraId="3E59E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9"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F831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学习目标</w:t>
            </w:r>
          </w:p>
        </w:tc>
        <w:tc>
          <w:tcPr>
            <w:tcW w:w="91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5B4A8C2">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1.运动能力</w:t>
            </w:r>
            <w:r>
              <w:rPr>
                <w:rFonts w:hint="eastAsia" w:ascii="宋体" w:hAnsi="宋体" w:eastAsia="宋体" w:cs="宋体"/>
                <w:i w:val="0"/>
                <w:iCs w:val="0"/>
                <w:color w:val="000000"/>
                <w:kern w:val="0"/>
                <w:sz w:val="22"/>
                <w:szCs w:val="22"/>
                <w:u w:val="none"/>
                <w:lang w:val="en-US" w:eastAsia="zh-CN" w:bidi="ar"/>
              </w:rPr>
              <w:t>：能清晰描述体育运动对身心健康的价值，乐于参加体育运动，并能在锻炼中进行自我监护，预防运动伤病的发生。</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2.健康行为</w:t>
            </w:r>
            <w:r>
              <w:rPr>
                <w:rFonts w:hint="eastAsia" w:ascii="宋体" w:hAnsi="宋体" w:eastAsia="宋体" w:cs="宋体"/>
                <w:i w:val="0"/>
                <w:iCs w:val="0"/>
                <w:color w:val="000000"/>
                <w:kern w:val="0"/>
                <w:sz w:val="22"/>
                <w:szCs w:val="22"/>
                <w:u w:val="none"/>
                <w:lang w:val="en-US" w:eastAsia="zh-CN" w:bidi="ar"/>
              </w:rPr>
              <w:t>：理解科学健康观的内涵和生活方式与健康的关系，掌握营养、卫生、作息、环境、视力、疾病预防等方面的知识和技能，自觉远离吸烟、酗酒、吸毒等不良生活方式，逐步形成较为稳定的健康行为和生活习惯。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3.体育品德</w:t>
            </w:r>
            <w:r>
              <w:rPr>
                <w:rFonts w:hint="eastAsia" w:ascii="宋体" w:hAnsi="宋体" w:eastAsia="宋体" w:cs="宋体"/>
                <w:i w:val="0"/>
                <w:iCs w:val="0"/>
                <w:color w:val="000000"/>
                <w:kern w:val="0"/>
                <w:sz w:val="22"/>
                <w:szCs w:val="22"/>
                <w:u w:val="none"/>
                <w:lang w:val="en-US" w:eastAsia="zh-CN" w:bidi="ar"/>
              </w:rPr>
              <w:t>：掌握交流与合作的方法，能在与同伴共同开展的学习生活和体育活动中加以运用，表现出稳定的情绪及良好的沟通与合作能力。</w:t>
            </w:r>
          </w:p>
        </w:tc>
      </w:tr>
      <w:tr w14:paraId="73A22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331E3">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教学重难点</w:t>
            </w:r>
          </w:p>
        </w:tc>
        <w:tc>
          <w:tcPr>
            <w:tcW w:w="91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5027E0D">
            <w:pP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1.学生学习重难点:面对不同同伴、不同教学内容、不同的对手和教学组织形式等情境。</w:t>
            </w:r>
          </w:p>
          <w:p w14:paraId="1D50768E">
            <w:pP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教学内容重难点:合理膳食和健康生活的关系和运用、近视对职业影响和预防近视的实践、合理与异性相处的方法和分寸，调控情绪，克服挫折的认识和行动，预防传染病和养成卫生健康的生活习惯，强化安全避险的能力和应对灾害的良好心理素质。</w:t>
            </w:r>
          </w:p>
          <w:p w14:paraId="1FDFD0CE">
            <w:pP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3.教学组织重难点:合理规划小组场地和模式，提高利用率和合作效果:合理创设情景，转承启合的艺术性，提高教学效率和深度，教学过程顺畅自然。</w:t>
            </w:r>
          </w:p>
          <w:p w14:paraId="1811F76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Theme="minorEastAsia" w:hAnsiTheme="minorEastAsia" w:eastAsiaTheme="minorEastAsia" w:cstheme="minorEastAsia"/>
                <w:sz w:val="22"/>
                <w:szCs w:val="22"/>
              </w:rPr>
              <w:t>4.教学方法重难点:教师启发引导、教学媒介、情境创设、道具模拟及学生自主、合作、探究等学习方式的结合。</w:t>
            </w:r>
          </w:p>
        </w:tc>
      </w:tr>
      <w:tr w14:paraId="5F28A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104A0BF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课次</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6596E77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主题</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7FB955C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学习目标</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2C0B312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学习流程</w:t>
            </w:r>
          </w:p>
        </w:tc>
      </w:tr>
      <w:tr w14:paraId="222F2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35333E0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1992ECE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什么是健康</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1E99367E">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(1）理解健康的内涵和影响因素。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(2）能用世界卫生组织的健康标准对自己或他人的健康状况进行评价。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(3）了解健康对个体、家庭和社会的重要性，强化健康意识。</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657497A7">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(1）头脑风暴：健康有哪些特征？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(2）教师进行归类和总结。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(3）出示课件，介绍世界卫生组织提出的健康概念和健康标准。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(4）小组讨论与汇报：哪些因素影响健康？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(5）教师进行点评和总结。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(6）播放短片：健康中国行动宣传片。</w:t>
            </w:r>
          </w:p>
        </w:tc>
      </w:tr>
      <w:tr w14:paraId="53226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4C8E74B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2AEFE46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生活方式与健康</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270E560E">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(1）理解生活方式的概念，以及与健康的关系。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(2）列出健康生活方式和不良生活方式对身体健康的影响。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(3）认同生活方式对健康的影响，强化养成健康的生活方式的决心。</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0230857B">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(1）教师观看视频："现代文明病"﹣沉重的健康代价。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(2）教师提问：观看感受。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(3）教师点评，结合课件讲解生活方式的概念及与健康的密切关系。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(4）小组合作完成学习任务卡并汇报：列举健康与不良生活方式。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(5）教师梳理和总结。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(6）学生量表自测：我的生活方式健康吗？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(7）教师和学生共同在健康生活方式倡议书上签字。</w:t>
            </w:r>
          </w:p>
        </w:tc>
      </w:tr>
      <w:tr w14:paraId="0D88F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2F0913DD">
            <w:pPr>
              <w:keepNext w:val="0"/>
              <w:keepLines w:val="0"/>
              <w:widowControl/>
              <w:suppressLineNumbers w:val="0"/>
              <w:jc w:val="center"/>
              <w:textAlignment w:val="center"/>
              <w:rPr>
                <w:rFonts w:hint="eastAsia" w:ascii="宋体" w:hAnsi="宋体" w:eastAsia="宋体" w:cs="宋体"/>
                <w:i w:val="0"/>
                <w:iCs w:val="0"/>
                <w:color w:val="E54C5E" w:themeColor="accent6"/>
                <w:kern w:val="2"/>
                <w:sz w:val="22"/>
                <w:szCs w:val="22"/>
                <w:u w:val="none"/>
                <w:lang w:val="en-US" w:eastAsia="zh-CN" w:bidi="ar-SA"/>
                <w14:textFill>
                  <w14:solidFill>
                    <w14:schemeClr w14:val="accent6"/>
                  </w14:solidFill>
                </w14:textFill>
              </w:rPr>
            </w:pPr>
            <w:r>
              <w:rPr>
                <w:color w:val="auto"/>
                <w:sz w:val="22"/>
              </w:rP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337185</wp:posOffset>
                      </wp:positionV>
                      <wp:extent cx="166370" cy="176530"/>
                      <wp:effectExtent l="0" t="0" r="5080" b="4445"/>
                      <wp:wrapNone/>
                      <wp:docPr id="1" name="五角星 1"/>
                      <wp:cNvGraphicFramePr/>
                      <a:graphic xmlns:a="http://schemas.openxmlformats.org/drawingml/2006/main">
                        <a:graphicData uri="http://schemas.microsoft.com/office/word/2010/wordprocessingShape">
                          <wps:wsp>
                            <wps:cNvSpPr/>
                            <wps:spPr>
                              <a:xfrm>
                                <a:off x="1042035" y="5631180"/>
                                <a:ext cx="166370" cy="176530"/>
                              </a:xfrm>
                              <a:prstGeom prst="star5">
                                <a:avLst/>
                              </a:prstGeom>
                              <a:solidFill>
                                <a:schemeClr val="tx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5.4pt;margin-top:26.55pt;height:13.9pt;width:13.1pt;z-index:251659264;v-text-anchor:middle;mso-width-relative:page;mso-height-relative:page;" fillcolor="#000000 [3213]" filled="t" stroked="f" coordsize="166370,176530" o:gfxdata="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EAGnNTUAAAABwEAAA8AAAAAAAAAAQAgAAAAIgAAAGRycy9k&#10;b3ducmV2LnhtbFBLAQIUABQAAAAIAIdO4kAfmeLyeAIAANoEAAAOAAAAAAAAAAEAIAAAACMBAABk&#10;cnMvZTJvRG9jLnhtbFBLBQYAAAAABgAGAFkBAAANBgAAAAA=&#10;" path="m0,67428l63548,67428,83185,0,102821,67428,166369,67428,114958,109101,134596,176529,83185,134855,31773,176529,51411,109101xe">
                      <v:path o:connectlocs="83185,0;0,67428;31773,176529;134596,176529;166369,67428" o:connectangles="247,164,82,82,0"/>
                      <v:fill on="t" focussize="0,0"/>
                      <v:stroke on="f" weight="1pt" miterlimit="8" joinstyle="miter"/>
                      <v:imagedata o:title=""/>
                      <o:lock v:ext="edit" aspectratio="f"/>
                    </v:shape>
                  </w:pict>
                </mc:Fallback>
              </mc:AlternateContent>
            </w:r>
            <w:r>
              <w:rPr>
                <w:rFonts w:hint="eastAsia" w:ascii="宋体" w:hAnsi="宋体" w:eastAsia="宋体" w:cs="宋体"/>
                <w:i w:val="0"/>
                <w:iCs w:val="0"/>
                <w:color w:val="auto"/>
                <w:kern w:val="0"/>
                <w:sz w:val="22"/>
                <w:szCs w:val="22"/>
                <w:u w:val="none"/>
                <w:lang w:val="en-US" w:eastAsia="zh-CN" w:bidi="ar"/>
              </w:rPr>
              <w:t>3</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3328011A">
            <w:pPr>
              <w:keepNext w:val="0"/>
              <w:keepLines w:val="0"/>
              <w:widowControl/>
              <w:suppressLineNumbers w:val="0"/>
              <w:jc w:val="center"/>
              <w:textAlignment w:val="center"/>
              <w:rPr>
                <w:rFonts w:hint="eastAsia" w:ascii="宋体" w:hAnsi="宋体" w:eastAsia="宋体" w:cs="宋体"/>
                <w:i w:val="0"/>
                <w:iCs w:val="0"/>
                <w:color w:val="E54C5E" w:themeColor="accent6"/>
                <w:kern w:val="2"/>
                <w:sz w:val="22"/>
                <w:szCs w:val="22"/>
                <w:u w:val="none"/>
                <w:lang w:val="en-US" w:eastAsia="zh-CN" w:bidi="ar-SA"/>
                <w14:textFill>
                  <w14:solidFill>
                    <w14:schemeClr w14:val="accent6"/>
                  </w14:solidFill>
                </w14:textFill>
              </w:rPr>
            </w:pPr>
            <w:r>
              <w:rPr>
                <w:rFonts w:hint="eastAsia" w:ascii="宋体" w:hAnsi="宋体" w:eastAsia="宋体" w:cs="宋体"/>
                <w:i w:val="0"/>
                <w:iCs w:val="0"/>
                <w:color w:val="auto"/>
                <w:kern w:val="0"/>
                <w:sz w:val="22"/>
                <w:szCs w:val="22"/>
                <w:u w:val="none"/>
                <w:lang w:val="en-US" w:eastAsia="zh-CN" w:bidi="ar"/>
              </w:rPr>
              <w:t>我是不白吃</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3B235751">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default" w:ascii="宋体" w:hAnsi="宋体" w:eastAsia="宋体" w:cs="宋体"/>
                <w:i w:val="0"/>
                <w:iCs w:val="0"/>
                <w:color w:val="auto"/>
                <w:kern w:val="0"/>
                <w:sz w:val="22"/>
                <w:szCs w:val="22"/>
                <w:lang w:val="en-US" w:eastAsia="zh-CN" w:bidi="ar"/>
              </w:rPr>
              <w:t>(1）</w:t>
            </w:r>
            <w:r>
              <w:rPr>
                <w:rFonts w:hint="eastAsia" w:ascii="宋体" w:hAnsi="宋体" w:eastAsia="宋体" w:cs="宋体"/>
                <w:i w:val="0"/>
                <w:iCs w:val="0"/>
                <w:color w:val="auto"/>
                <w:kern w:val="0"/>
                <w:sz w:val="22"/>
                <w:szCs w:val="22"/>
                <w:u w:val="none"/>
                <w:lang w:val="en-US" w:eastAsia="zh-CN" w:bidi="ar"/>
              </w:rPr>
              <w:t>了解中学生发育每天所需能量，能通过食品和饮料的标签了解营养和安全状况。</w:t>
            </w:r>
          </w:p>
          <w:p w14:paraId="159DFDC1">
            <w:pPr>
              <w:keepNext w:val="0"/>
              <w:keepLines w:val="0"/>
              <w:widowControl/>
              <w:numPr>
                <w:ilvl w:val="0"/>
                <w:numId w:val="0"/>
              </w:numPr>
              <w:suppressLineNumbers w:val="0"/>
              <w:jc w:val="left"/>
              <w:textAlignment w:val="center"/>
              <w:rPr>
                <w:rFonts w:hint="eastAsia" w:ascii="宋体" w:hAnsi="宋体" w:eastAsia="宋体" w:cs="宋体"/>
                <w:i w:val="0"/>
                <w:iCs w:val="0"/>
                <w:color w:val="E54C5E" w:themeColor="accent6"/>
                <w:kern w:val="2"/>
                <w:sz w:val="22"/>
                <w:szCs w:val="22"/>
                <w:u w:val="none"/>
                <w:lang w:val="en-US" w:eastAsia="zh-CN" w:bidi="ar-SA"/>
                <w14:textFill>
                  <w14:solidFill>
                    <w14:schemeClr w14:val="accent6"/>
                  </w14:solidFill>
                </w14:textFill>
              </w:rPr>
            </w:pPr>
            <w:r>
              <w:rPr>
                <w:rFonts w:hint="default" w:ascii="宋体" w:hAnsi="宋体" w:eastAsia="宋体" w:cs="宋体"/>
                <w:i w:val="0"/>
                <w:iCs w:val="0"/>
                <w:color w:val="auto"/>
                <w:kern w:val="2"/>
                <w:sz w:val="22"/>
                <w:szCs w:val="22"/>
                <w:lang w:val="en-US" w:eastAsia="zh-CN" w:bidi="ar-SA"/>
              </w:rPr>
              <w:t>(2）</w:t>
            </w:r>
            <w:r>
              <w:rPr>
                <w:rFonts w:hint="eastAsia" w:ascii="宋体" w:hAnsi="宋体" w:eastAsia="宋体" w:cs="宋体"/>
                <w:i w:val="0"/>
                <w:iCs w:val="0"/>
                <w:color w:val="auto"/>
                <w:kern w:val="0"/>
                <w:sz w:val="22"/>
                <w:szCs w:val="22"/>
                <w:u w:val="none"/>
                <w:lang w:val="en-US" w:eastAsia="zh-CN" w:bidi="ar"/>
              </w:rPr>
              <w:t>能自主测算BMI值，并对数据做出分析评判。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w:t>
            </w:r>
            <w:r>
              <w:rPr>
                <w:rFonts w:hint="eastAsia" w:ascii="宋体" w:hAnsi="宋体" w:eastAsia="宋体" w:cs="宋体"/>
                <w:color w:val="auto"/>
                <w:sz w:val="22"/>
                <w:szCs w:val="22"/>
              </w:rPr>
              <w:t>对健康</w:t>
            </w:r>
            <w:r>
              <w:rPr>
                <w:rFonts w:hint="eastAsia" w:ascii="宋体" w:hAnsi="宋体" w:eastAsia="宋体" w:cs="宋体"/>
                <w:sz w:val="22"/>
                <w:szCs w:val="22"/>
              </w:rPr>
              <w:t>饮食</w:t>
            </w:r>
            <w:r>
              <w:rPr>
                <w:rFonts w:hint="eastAsia" w:ascii="宋体" w:hAnsi="宋体" w:cs="宋体"/>
                <w:sz w:val="22"/>
                <w:szCs w:val="22"/>
                <w:lang w:val="en-US" w:eastAsia="zh-CN"/>
              </w:rPr>
              <w:t>学习有</w:t>
            </w:r>
            <w:r>
              <w:rPr>
                <w:rFonts w:hint="eastAsia" w:ascii="宋体" w:hAnsi="宋体" w:eastAsia="宋体" w:cs="宋体"/>
                <w:sz w:val="22"/>
                <w:szCs w:val="22"/>
              </w:rPr>
              <w:t>兴趣和热情，</w:t>
            </w:r>
            <w:r>
              <w:rPr>
                <w:rFonts w:hint="eastAsia" w:ascii="宋体" w:hAnsi="宋体" w:cs="宋体"/>
                <w:sz w:val="22"/>
                <w:szCs w:val="22"/>
                <w:lang w:val="en-US" w:eastAsia="zh-CN"/>
              </w:rPr>
              <w:t>养成</w:t>
            </w:r>
            <w:r>
              <w:rPr>
                <w:rFonts w:hint="eastAsia" w:ascii="宋体" w:hAnsi="宋体" w:eastAsia="宋体" w:cs="宋体"/>
                <w:sz w:val="22"/>
                <w:szCs w:val="22"/>
              </w:rPr>
              <w:t>合理规划饮食的习惯，树立健康生活的意识。</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43AC13C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(1）学情导入，引出吃的重要性；</w:t>
            </w:r>
          </w:p>
          <w:p w14:paraId="5C2E5D3F">
            <w:pPr>
              <w:keepNext w:val="0"/>
              <w:keepLines w:val="0"/>
              <w:widowControl/>
              <w:suppressLineNumbers w:val="0"/>
              <w:jc w:val="left"/>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(2）水池实验，介绍能量单位卡路里C与焦耳J,讲解它们之间的关系；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(3）教师讲解膳食宝塔与食品分量估重；</w:t>
            </w:r>
          </w:p>
          <w:p w14:paraId="5914D26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(4）小组合作：共同制定美味合理的一日膳食计划表；</w:t>
            </w:r>
          </w:p>
          <w:p w14:paraId="3B9CFFA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(5）查看食品标签，计算能量表与并分析配料表；</w:t>
            </w:r>
          </w:p>
          <w:p w14:paraId="757EBE80">
            <w:pPr>
              <w:keepNext w:val="0"/>
              <w:keepLines w:val="0"/>
              <w:widowControl/>
              <w:suppressLineNumbers w:val="0"/>
              <w:jc w:val="left"/>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(6）BMI值测定</w:t>
            </w:r>
          </w:p>
          <w:p w14:paraId="34A6A311">
            <w:pPr>
              <w:keepNext w:val="0"/>
              <w:keepLines w:val="0"/>
              <w:widowControl/>
              <w:suppressLineNumbers w:val="0"/>
              <w:jc w:val="left"/>
              <w:textAlignment w:val="center"/>
              <w:rPr>
                <w:rFonts w:hint="default" w:ascii="宋体" w:hAnsi="宋体" w:eastAsia="宋体" w:cs="宋体"/>
                <w:i w:val="0"/>
                <w:iCs w:val="0"/>
                <w:color w:val="E54C5E" w:themeColor="accent6"/>
                <w:kern w:val="2"/>
                <w:sz w:val="22"/>
                <w:szCs w:val="22"/>
                <w:u w:val="none"/>
                <w:lang w:val="en-US" w:eastAsia="zh-CN" w:bidi="ar-SA"/>
                <w14:textFill>
                  <w14:solidFill>
                    <w14:schemeClr w14:val="accent6"/>
                  </w14:solidFill>
                </w14:textFill>
              </w:rPr>
            </w:pPr>
            <w:r>
              <w:rPr>
                <w:rFonts w:hint="eastAsia" w:ascii="宋体" w:hAnsi="宋体" w:eastAsia="宋体" w:cs="宋体"/>
                <w:i w:val="0"/>
                <w:iCs w:val="0"/>
                <w:color w:val="auto"/>
                <w:kern w:val="0"/>
                <w:sz w:val="22"/>
                <w:szCs w:val="22"/>
                <w:u w:val="none"/>
                <w:lang w:val="en-US" w:eastAsia="zh-CN" w:bidi="ar"/>
              </w:rPr>
              <w:t>(7)教师组织讨论营养素的作用与引导归类；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(8）健身操:燃烧我的卡路里</w:t>
            </w:r>
          </w:p>
        </w:tc>
      </w:tr>
      <w:tr w14:paraId="730E9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7F1DBB4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3DD24CD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青少年休闲方式与健康</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2FEB168D">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(1）举例说出休闲的方式和休闲的价值。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(2）认同休闲方式对健康的影响，主动选择健康的休闲方式。</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2CFFF6B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(1）小调查："我的休闲方式"。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(2）小组成员间进行交流、汇总和汇报：排在前五位的休闲方式。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(3）教师组织讨论：休闲方式对健康的影响。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(4）教师讲解：休闲的含义、价值及青少年休闲的主要类型与特点。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(5）辩论：手机游戏对青少年健康的利与弊。</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(6）教师进行点评和总结。</w:t>
            </w:r>
          </w:p>
        </w:tc>
      </w:tr>
      <w:tr w14:paraId="0F3AC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72BC7E1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4D37E5A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禁毒控烟</w:t>
            </w:r>
          </w:p>
          <w:p w14:paraId="515E6C1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33CAE4F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远离酒精</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2F91E91D">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(1）了解我国关于烟草、酒精和禁毒的法律规定，知道涉毒是严重的违法行为。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(2）树立健康意识，从自身做起，拒绝烟酒、远离毒品。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(3）强化法律意识，在能力范围内劝诫和制止身边亲友的涉毒行为。</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2AEAA50D">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(1）观看青少年毒品预防教育专题片：《致青春（12~</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14岁版）》片段。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(2）教师提问：观看感受与信息收获。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(3）教师讲解：刑法和禁毒法对未成年人涉毒的规定。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(4）教师组织讨论：未成年人吸烟和饮酒违法吗？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(5）教师总结。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(6）小组完成任务：致同龄人的倡议书（禁毒、远离烟</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草、酒精，三选一）。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(7）小组展示与教师点评。</w:t>
            </w:r>
          </w:p>
        </w:tc>
      </w:tr>
      <w:tr w14:paraId="38D8B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3FAB8DF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6DB3A24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揭开兴奋剂的面纱</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0E8E7F0B">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(1）举例说出兴奋剂的种类和危害，了解兴奋剂与新型毒品的关系。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(2）认识到在体育竞赛中服用兴奋剂是破坏公平竞争的严重行为。</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3F405DBD">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(1）教师组织讨论：如果服用药物可以帮助你获得重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的运动成绩，你会怎么做？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(2）学生自由发言。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(3）教师结合课件，讲解兴奋剂的历史、种类与危害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(4）播放视频：体坛"恶魔"﹣兴奋剂。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(5）小组讨论与汇报：公平竞争与兴奋剂。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(6）教师点评，介绍兴奋剂与新型毒品。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(7）快速抢答：兴奋剂知识小测验。</w:t>
            </w:r>
          </w:p>
        </w:tc>
      </w:tr>
      <w:tr w14:paraId="2CF54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62E8D13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3573D89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体检的奥秘</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644DB3D4">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(1）说出常规体检的项目、指标和意义。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(2）认识到体检对健康的意义，定期参加体检。</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05AF4D11">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(1）小组讨论，共同完成任务卡：体检的项目与指标。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(2）汇报与展示，教师进行点评和补充，介绍体检前和体检中的注意事项。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(3）小组探究活动：你会阅读体检报告吗？（阅读体检报告案例，归纳信息和建议）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(4）汇报与展示，教师点评。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(5）教师进行系统梳理，提示定期体检对健康的重要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意义。</w:t>
            </w:r>
          </w:p>
        </w:tc>
      </w:tr>
      <w:tr w14:paraId="40E40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36D64C2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8</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571678D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科学控制体重</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7EA853FD">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(1）了解体重过轻／过重的健康隐患和科学控制体重的方法。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(2）能使用身体质量指数（BMI）判断体重的正常范围。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(3）初步建立身体映像的概念，学会接纳自我。</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06F0BB41">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(1）小调查：您对自己的体重满意吗？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(2）身体质量指数（BMI）的概念、计算方法和评价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(3）任务卡：身体质量指数（BMI）计算与个人体重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判断。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(4）案例分析：体重过轻／过重的危害。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(5）原理剖析：体重与身体热量摄取。</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(6）小组讨论与汇报：科学控制体重的措施。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(7）教师总结，提示：学会悦纳自我。</w:t>
            </w:r>
          </w:p>
        </w:tc>
      </w:tr>
      <w:tr w14:paraId="28A09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3709D4D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24F9D57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肥胖的危害与防控</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1C09926D">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(1）了解肥胖的健康危害和带来的社会问题。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(2）能判定轻度、中度和重度肥胖。</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(3）解释导致肥胖的原因，加强体育锻炼，建立健康生活方式。</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49D2A2D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（课前任务：完成家族成员体重调查表）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(1）观看视频：肥胖——21世纪的全球问题。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(2）小组交流。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(3）教师小结，讲解肥胖的判定。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(4）小组交流"家族成员体重调查表情况"，讨论导致发胖的因素。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(5）小组汇报，教师总结。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(6）减肥提示："锻炼饮食控体重，盲目减重危害人。</w:t>
            </w:r>
          </w:p>
        </w:tc>
      </w:tr>
      <w:tr w14:paraId="5E682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0F0A582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3AFC4DA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预防脊柱侧弯与锻炼方法</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4A395A1E">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(1）了解脊柱侧弯和其他脊柱健康问题的症状和危害。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(2）能简单判断脊柱侧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弯，主动参加筛查。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(3）知道如何通过肌肉锻炼和正确姿势预防脊柱侧弯。</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48BC2ED0">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(1）出示图片，提问：他们的脊柱怎么了？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(2）观看视频：脊柱侧弯的早发现和早预防。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(3）教师讲解：脊柱侧弯的危害、判断方法。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(4）小组讨论：体育锻炼与脊柱健康。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(5）小组汇报，教师点评。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(6）动起来：跟随教师和课件做脊柱健身操。</w:t>
            </w:r>
          </w:p>
        </w:tc>
      </w:tr>
      <w:tr w14:paraId="61BD3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3616D8C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11</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3C92E88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视力不良与个人、国家发展</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13129DBF">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(1）举例说出视力不良对个人、社会和国家的影响。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(2）知道视力不良带来的生活不便，强化视力保护意识。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(3）知悉《综合防控儿童青少年近视实施方案》，并在自身学习生活中落实。</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0AE1DA8E">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(1）阅读材料：《视力不良，正成为一场公共卫生危</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(2）小组讨论，汇报感受。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(3）教师小结：视力不良不仅影响个人健康和生活，也对国家发展和民族未来产生影响。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(4）室内拓展活动：盲人摸象。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(5）感悟与体会分享。</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(6）观看视频：《综合防控儿童青少年近视实施方案》动画解读。</w:t>
            </w:r>
          </w:p>
        </w:tc>
      </w:tr>
      <w:tr w14:paraId="275E4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14C92CD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12</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7FAA6C9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体育运动中的自我监护</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08BA1B0F">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(1）举例说出运动中进行自我监护的重要性。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(2）了解运动监护常用的主观感觉指标和客观检查指标，能通过测量脉搏监测身体反应。</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(3）感觉不适时停止运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动，避免锻炼过度。</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39B7B939">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(1）新闻链接：男孩晨练时晕倒。</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(2）小组讨论：①你在运动中产生过不适吗？②产生不适时该怎么办？</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(3）小组汇报，教师讲解体育运动中的主观感觉指标和客观检查指标。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(4）两人配合，自测、测量并记录同伴安静时和运动后的即刻脉搏。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(5）教师巡回指导，总结提示：运动适度，不锻炼过度。</w:t>
            </w:r>
          </w:p>
        </w:tc>
      </w:tr>
      <w:tr w14:paraId="02347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4CE6AD7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13</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6884198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科学制订锻炼计划</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63536C7D">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(1）理解并能解释锻炼计划的主要要素和制订原则。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(2）掌握制订锻炼计划的一般程序和方法。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(3）强化科学锻炼意识，能按照锻炼计划坚持参加体育锻炼。</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4E908403">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(1）观看钟南山院士分享健身秘诀的视频。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(2）交流感受，教师倡导规律的科学锻炼。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(3）教师讲解：制订锻炼计划的FITT要素（运动频率、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运动强度、运动时间和运动类型）。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(4）完成任务卡：制订个人锻炼计划。</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(5）分享与点评。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(6）小组合作：完善锻炼计划。</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(7）教师总结，提示：①锻炼计划定期调整；②锻炼贵在持之以恒。</w:t>
            </w:r>
          </w:p>
        </w:tc>
      </w:tr>
      <w:tr w14:paraId="14A27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458483A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14</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3C85F1F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运动改造大脑</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782DD499">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(1）举例说明科学、规律地参加运动对大脑功能的促进作用。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(2）能合理安排学习与锻炼，做到张弛有度。</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3FE035F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（课前布置任务：分组准备辩论材料）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(1）辩论-运动与学习是否不可兼得。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(2）教师进行点评。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(3）阅读《运动改造大脑》节选材料，并以小组为单位论体会。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(4）小组汇报。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(5）教师进行点评和总结：运动在促进记忆、保持注意力、克服焦虑等方面的作用。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(6）布置作业：阅读《运动改造大脑》。</w:t>
            </w:r>
          </w:p>
        </w:tc>
      </w:tr>
      <w:tr w14:paraId="11084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4DC3F24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53B5099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运动与情绪健康</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485D5A51">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(1）举例说出体育运动对心理健康的益处，以及积极、稳定情绪的益处。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(2）在体育运动中表现积极的情绪，出现情绪波动时能及时调整。</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744E1724">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(1）观看视频：情绪失控了！运动场上的暴躁时刻。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(2）小组讨论与交流：①情绪失控的原因和后果；②我有没有这样的时刻。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(3）汇报讨论成果，教师进行小结。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(4）讲解情绪ABC理论和正确的归因方法。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(5）分组情境模拟：当运动场上发生……事情。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(6）小组展示。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(7）教师点评和总结。</w:t>
            </w:r>
          </w:p>
        </w:tc>
      </w:tr>
      <w:tr w14:paraId="4D2DD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55C3AC9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2E4215C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运动安全与损伤预防</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10FAD605">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(1）举例说出运动损伤的危害、种类、原因等。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(2）了解安全锻炼原</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则，并在体育运动中表现出相应的行为。</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4B7AC61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(1）出示图片：体育明星受伤时刻。</w:t>
            </w:r>
          </w:p>
          <w:p w14:paraId="75941B8B">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(2）学生分享经历：发生运动损伤的经历。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(3）教师进行点评，讲解损伤造成的危害。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(4）小组讨论1：发生损伤的原因。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(5）小组汇报，教师总结。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(6）小组讨论2：如何避免运动损伤。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(7）小组汇报，教师总结安全运动原则。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(8）知识抢答：判断行为是否安全。</w:t>
            </w:r>
          </w:p>
        </w:tc>
      </w:tr>
      <w:tr w14:paraId="5E505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71BA5D2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17</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237E038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开放式运动损伤的处理</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5CCC389E">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(1）了解常见运动损伤的分类，举例说出常见开放式运动损伤的症状。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(2）掌握处理损伤的止血和包扎方法，发展动手操作和实践能力。</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(3）关心同学，能与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同伴良好合作。</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65B1EB21">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(1）师生小活动：常见运动损伤分类。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(2）观看视频：开放式运动损伤的处理。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(3）教师示教1：擦伤后的消毒和止皿。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(4）学生分组操作，教师巡回指导。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(5）教师示教2：环形和"8"字包扎法。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(6）学生分组操作，教师巡回指导。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(7）教师示教3：骨折后的三角巾固定。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(8）学生分组操作，教师巡回指导。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(9）分组进行抽题技能展示。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(10）教师点评和总结。</w:t>
            </w:r>
          </w:p>
        </w:tc>
      </w:tr>
      <w:tr w14:paraId="48800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1DB72C3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18</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35A72A9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闭合式运动损伤的处理</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19131AB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(1）描述常见闭合式运动损伤的症状和危害。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(2）掌握理闭合式损伤的操作步骤和要点。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(3）在运动中表现出良好的安全意识和行为。</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5C57FA2C">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(1）找错误："张明踢球受伤后"。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(2）观看视频：闭合式运动损伤处理的PRICE原则。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(3）教师分类讲解操作要点，示教操作步骤。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(4）学生分组操作，教师巡回指导。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(5）优秀小组展示，学生互评。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(6）教师示教：肌肉痉挛后的处理。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(7）学生分组操作，教师巡回指导。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(8）教师总结，提示：运动伤害预防为先。</w:t>
            </w:r>
          </w:p>
        </w:tc>
      </w:tr>
      <w:tr w14:paraId="462F9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757" w:type="dxa"/>
            <w:tcBorders>
              <w:top w:val="single" w:color="000000" w:sz="4" w:space="0"/>
              <w:left w:val="single" w:color="000000" w:sz="4" w:space="0"/>
              <w:bottom w:val="single" w:color="000000" w:sz="4" w:space="0"/>
              <w:right w:val="single" w:color="auto" w:sz="4" w:space="0"/>
            </w:tcBorders>
            <w:shd w:val="clear" w:color="auto" w:fill="auto"/>
            <w:vAlign w:val="center"/>
          </w:tcPr>
          <w:p w14:paraId="3543794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w:t>
            </w:r>
          </w:p>
        </w:tc>
        <w:tc>
          <w:tcPr>
            <w:tcW w:w="690" w:type="dxa"/>
            <w:tcBorders>
              <w:top w:val="single" w:color="000000" w:sz="4" w:space="0"/>
              <w:left w:val="single" w:color="auto" w:sz="4" w:space="0"/>
              <w:bottom w:val="single" w:color="000000" w:sz="4" w:space="0"/>
              <w:right w:val="single" w:color="auto" w:sz="4" w:space="0"/>
            </w:tcBorders>
            <w:shd w:val="clear" w:color="auto" w:fill="auto"/>
            <w:vAlign w:val="center"/>
          </w:tcPr>
          <w:p w14:paraId="329C5AD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预防常见运动性疾病</w:t>
            </w:r>
          </w:p>
        </w:tc>
        <w:tc>
          <w:tcPr>
            <w:tcW w:w="2955"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6C63D86C">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(1）举例说出至少3种常见运动性疾病的症状、危害与处理方法。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(2）知道同伴发生运动晕厥或猝死等紧急情况时，及时求救。</w:t>
            </w:r>
          </w:p>
        </w:tc>
        <w:tc>
          <w:tcPr>
            <w:tcW w:w="54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514EFAB6">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(1）新闻链接：跑步中的运动猝死。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(2）学生分享感受。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(3）教师分类讲解常见运动疾病的症状、原因和处理方法。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(4）观看视频：心肺复苏宣传片。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(5）随堂测验。</w:t>
            </w:r>
          </w:p>
        </w:tc>
      </w:tr>
      <w:tr w14:paraId="38D05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99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884F72C">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5．评价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(1）评价内容：健康知识与技能的掌握与运用。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(2）评价指标：关键知识点的掌握，运动损伤处理技能，学习态度表现，（真实生活和模拟情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境中）健康行为的自觉性和持久性。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(3）评价方法：采用教师评价和学生互评，对应学业要求进行评价，具体方法包括纸笔测验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法、（模拟情境下的）技能考核法、（行为）观察法、作业完成情况评价等。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(4）赋值方法：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优：知识掌握全面（90分及以上），技能熟练、准确；学习态度积极主动，在小组活动中发挥主导作用，按时并高质量地完成作业；坚持并能影响和带动他人形成健康的生活方式，参加规律的体育锻炼。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良：知识掌握较为全面（75分及以上），技能准确、熟练度有待提升；学习态度和应答教师提问比较积极，配合完成小组学习，按时完成作业；基本能保持个人健康的生活方式，经常参加体育运动。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合格：知识掌握不够全面，正确率一般（60分及以上），操作技能基本准确；在小组学习中比较配合，作业质量一般；关注自身健康，大多数情况下能表现出健康行为，有时需要被提醒。</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不合格：知识掌握较差（60分以下），技能操作存在明显错误；学习过程中不够配合，不能按时完成作业；存在较为明显的不良生活方式，缺乏对自身健康负责的意识。</w:t>
            </w:r>
          </w:p>
        </w:tc>
      </w:tr>
      <w:tr w14:paraId="1A688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99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3C0C965">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6．作业／测试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(1）作业：制订一份完整的体育锻炼计划，并认真执行或请家长监督执行。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(2）测试：单元知识纸笔测验和模拟情境下的运动损伤处理技能考核。</w:t>
            </w:r>
          </w:p>
        </w:tc>
      </w:tr>
      <w:tr w14:paraId="200B4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99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F90FF8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7．学习环境／资源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(1）选择具备多媒体教学设备的教室或其他室内场地，以小组为单位布置学生桌椅；教师结合学习需要准备器材用具等。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(2）准备与主题相关的视频、动画、图片等，根据需要制作微课和课外拓展学习材料。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(3）营造宽松的学习氛围、活跃的课堂气氛、良好的人际关系等。</w:t>
            </w:r>
          </w:p>
        </w:tc>
      </w:tr>
    </w:tbl>
    <w:p w14:paraId="21332557"/>
    <w:p w14:paraId="10783BD2">
      <w:pPr>
        <w:jc w:val="center"/>
        <w:rPr>
          <w:rFonts w:hint="eastAsia"/>
          <w:b/>
          <w:bCs/>
          <w:sz w:val="36"/>
          <w:szCs w:val="44"/>
          <w:lang w:val="en-US" w:eastAsia="zh-CN"/>
        </w:rPr>
      </w:pPr>
      <w:r>
        <w:rPr>
          <w:rFonts w:hint="eastAsia"/>
          <w:b/>
          <w:bCs/>
          <w:sz w:val="36"/>
          <w:szCs w:val="44"/>
          <w:lang w:eastAsia="zh-CN"/>
        </w:rPr>
        <w:t>《</w:t>
      </w:r>
      <w:r>
        <w:rPr>
          <w:rFonts w:hint="eastAsia"/>
          <w:b/>
          <w:bCs/>
          <w:sz w:val="36"/>
          <w:szCs w:val="44"/>
          <w:lang w:val="en-US" w:eastAsia="zh-CN"/>
        </w:rPr>
        <w:t>我是不白吃</w:t>
      </w:r>
      <w:r>
        <w:rPr>
          <w:rFonts w:hint="eastAsia"/>
          <w:b/>
          <w:bCs/>
          <w:sz w:val="36"/>
          <w:szCs w:val="44"/>
          <w:lang w:eastAsia="zh-CN"/>
        </w:rPr>
        <w:t>》</w:t>
      </w:r>
      <w:r>
        <w:rPr>
          <w:rFonts w:hint="eastAsia"/>
          <w:b/>
          <w:bCs/>
          <w:sz w:val="36"/>
          <w:szCs w:val="44"/>
          <w:lang w:val="en-US" w:eastAsia="zh-CN"/>
        </w:rPr>
        <w:t>学时教案</w:t>
      </w:r>
    </w:p>
    <w:p w14:paraId="2291E55D">
      <w:pPr>
        <w:jc w:val="center"/>
        <w:rPr>
          <w:rFonts w:hint="eastAsia"/>
          <w:b w:val="0"/>
          <w:bCs w:val="0"/>
          <w:sz w:val="24"/>
          <w:szCs w:val="32"/>
          <w:lang w:val="en-US" w:eastAsia="zh-CN"/>
        </w:rPr>
      </w:pPr>
      <w:r>
        <w:rPr>
          <w:rFonts w:hint="eastAsia"/>
          <w:b w:val="0"/>
          <w:bCs w:val="0"/>
          <w:sz w:val="24"/>
          <w:szCs w:val="32"/>
          <w:lang w:val="en-US" w:eastAsia="zh-CN"/>
        </w:rPr>
        <w:t>授课人：新桥初中 沈宇</w:t>
      </w:r>
    </w:p>
    <w:tbl>
      <w:tblPr>
        <w:tblStyle w:val="3"/>
        <w:tblpPr w:leftFromText="180" w:rightFromText="180" w:vertAnchor="text" w:horzAnchor="page" w:tblpX="1495" w:tblpY="2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8378"/>
      </w:tblGrid>
      <w:tr w14:paraId="0ADB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trPr>
        <w:tc>
          <w:tcPr>
            <w:tcW w:w="802" w:type="dxa"/>
            <w:vAlign w:val="center"/>
          </w:tcPr>
          <w:p w14:paraId="57D7E57D">
            <w:pPr>
              <w:numPr>
                <w:ilvl w:val="0"/>
                <w:numId w:val="0"/>
              </w:numPr>
              <w:jc w:val="center"/>
              <w:rPr>
                <w:rFonts w:hint="default"/>
                <w:b w:val="0"/>
                <w:bCs w:val="0"/>
                <w:sz w:val="22"/>
                <w:szCs w:val="28"/>
                <w:vertAlign w:val="baseline"/>
                <w:lang w:val="en-US" w:eastAsia="zh-CN"/>
              </w:rPr>
            </w:pPr>
            <w:r>
              <w:rPr>
                <w:rFonts w:hint="eastAsia"/>
                <w:b w:val="0"/>
                <w:bCs w:val="0"/>
                <w:sz w:val="22"/>
                <w:szCs w:val="28"/>
                <w:lang w:val="en-US" w:eastAsia="zh-CN"/>
              </w:rPr>
              <w:t>指导思想</w:t>
            </w:r>
          </w:p>
        </w:tc>
        <w:tc>
          <w:tcPr>
            <w:tcW w:w="8378" w:type="dxa"/>
          </w:tcPr>
          <w:p w14:paraId="2218EDF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20" w:lineRule="exact"/>
              <w:ind w:firstLine="480" w:firstLineChars="200"/>
              <w:jc w:val="both"/>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rPr>
              <w:t>坚持遵循“健康第一”为指导思想，坚持贯彻《体育与健康课程标准（2022年）》的基本理念为依据，</w:t>
            </w:r>
            <w:r>
              <w:rPr>
                <w:rFonts w:hint="eastAsia" w:ascii="宋体" w:hAnsi="宋体" w:eastAsia="宋体" w:cs="宋体"/>
                <w:spacing w:val="-5"/>
                <w:sz w:val="24"/>
                <w:szCs w:val="24"/>
              </w:rPr>
              <w:t>促进</w:t>
            </w:r>
            <w:r>
              <w:rPr>
                <w:rFonts w:hint="eastAsia" w:ascii="宋体" w:hAnsi="宋体" w:eastAsia="宋体" w:cs="宋体"/>
                <w:spacing w:val="-6"/>
                <w:sz w:val="24"/>
                <w:szCs w:val="24"/>
              </w:rPr>
              <w:t>学生身心健康</w:t>
            </w:r>
            <w:r>
              <w:rPr>
                <w:rFonts w:hint="eastAsia" w:ascii="宋体" w:hAnsi="宋体" w:eastAsia="宋体" w:cs="宋体"/>
                <w:spacing w:val="-6"/>
                <w:sz w:val="24"/>
                <w:szCs w:val="24"/>
                <w:lang w:val="en-US" w:eastAsia="zh-CN"/>
              </w:rPr>
              <w:t>发展</w:t>
            </w:r>
            <w:r>
              <w:rPr>
                <w:rFonts w:hint="eastAsia" w:ascii="宋体" w:hAnsi="宋体" w:eastAsia="宋体" w:cs="宋体"/>
                <w:spacing w:val="-6"/>
                <w:sz w:val="24"/>
                <w:szCs w:val="24"/>
                <w:lang w:eastAsia="zh-CN"/>
              </w:rPr>
              <w:t>，</w:t>
            </w:r>
            <w:r>
              <w:rPr>
                <w:rFonts w:hint="eastAsia" w:ascii="宋体" w:hAnsi="宋体" w:eastAsia="宋体" w:cs="宋体"/>
                <w:sz w:val="24"/>
                <w:szCs w:val="24"/>
              </w:rPr>
              <w:t>培养学生对体育课的兴趣，</w:t>
            </w:r>
            <w:r>
              <w:rPr>
                <w:rFonts w:hint="eastAsia" w:ascii="宋体" w:hAnsi="宋体" w:eastAsia="宋体" w:cs="宋体"/>
                <w:sz w:val="24"/>
                <w:szCs w:val="24"/>
                <w:lang w:val="en-US" w:eastAsia="zh-CN"/>
              </w:rPr>
              <w:t>使</w:t>
            </w:r>
            <w:r>
              <w:rPr>
                <w:rFonts w:hint="eastAsia" w:ascii="宋体" w:hAnsi="宋体" w:eastAsia="宋体" w:cs="宋体"/>
                <w:sz w:val="24"/>
                <w:szCs w:val="24"/>
              </w:rPr>
              <w:t>学生在教师的引导下主动参与</w:t>
            </w:r>
            <w:r>
              <w:rPr>
                <w:rFonts w:hint="eastAsia" w:ascii="宋体" w:hAnsi="宋体" w:eastAsia="宋体" w:cs="宋体"/>
                <w:sz w:val="24"/>
                <w:szCs w:val="24"/>
                <w:lang w:eastAsia="zh-CN"/>
              </w:rPr>
              <w:t>。</w:t>
            </w:r>
            <w:r>
              <w:rPr>
                <w:rFonts w:hint="eastAsia" w:ascii="宋体" w:hAnsi="宋体" w:eastAsia="宋体" w:cs="宋体"/>
                <w:sz w:val="24"/>
                <w:szCs w:val="24"/>
              </w:rPr>
              <w:t>在认知、情感和态度方面都得到积极的发展。同时构建民主、和谐的师生关系，创设宽松愉悦的课堂</w:t>
            </w:r>
            <w:r>
              <w:rPr>
                <w:rFonts w:hint="eastAsia" w:ascii="宋体" w:hAnsi="宋体" w:eastAsia="宋体" w:cs="宋体"/>
                <w:sz w:val="24"/>
                <w:szCs w:val="24"/>
                <w:lang w:val="en-US" w:eastAsia="zh-CN"/>
              </w:rPr>
              <w:t>氛围，</w:t>
            </w:r>
            <w:r>
              <w:rPr>
                <w:rFonts w:hint="eastAsia" w:ascii="宋体" w:hAnsi="宋体" w:eastAsia="宋体" w:cs="宋体"/>
                <w:spacing w:val="-3"/>
                <w:sz w:val="24"/>
                <w:szCs w:val="24"/>
              </w:rPr>
              <w:t>力求给学生一个亲切、和谐、灵动的课堂氛围，培</w:t>
            </w:r>
            <w:r>
              <w:rPr>
                <w:rFonts w:hint="eastAsia" w:ascii="宋体" w:hAnsi="宋体" w:eastAsia="宋体" w:cs="宋体"/>
                <w:spacing w:val="-4"/>
                <w:sz w:val="24"/>
                <w:szCs w:val="24"/>
              </w:rPr>
              <w:t>养学生主动获取知识的能力，</w:t>
            </w:r>
            <w:r>
              <w:rPr>
                <w:rFonts w:hint="eastAsia" w:ascii="宋体" w:hAnsi="宋体" w:eastAsia="宋体" w:cs="宋体"/>
                <w:spacing w:val="1"/>
                <w:sz w:val="24"/>
                <w:szCs w:val="24"/>
              </w:rPr>
              <w:t>注重学生的探索性学习</w:t>
            </w:r>
            <w:r>
              <w:rPr>
                <w:rFonts w:hint="eastAsia" w:ascii="宋体" w:hAnsi="宋体" w:eastAsia="宋体" w:cs="宋体"/>
                <w:spacing w:val="1"/>
                <w:sz w:val="24"/>
                <w:szCs w:val="24"/>
                <w:lang w:eastAsia="zh-CN"/>
              </w:rPr>
              <w:t>。</w:t>
            </w:r>
          </w:p>
        </w:tc>
      </w:tr>
      <w:tr w14:paraId="3274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802" w:type="dxa"/>
            <w:vAlign w:val="center"/>
          </w:tcPr>
          <w:p w14:paraId="3A0EA33D">
            <w:pPr>
              <w:numPr>
                <w:ilvl w:val="0"/>
                <w:numId w:val="0"/>
              </w:numPr>
              <w:jc w:val="center"/>
              <w:rPr>
                <w:rFonts w:hint="default"/>
                <w:b w:val="0"/>
                <w:bCs w:val="0"/>
                <w:sz w:val="22"/>
                <w:szCs w:val="28"/>
                <w:vertAlign w:val="baseline"/>
                <w:lang w:val="en-US" w:eastAsia="zh-CN"/>
              </w:rPr>
            </w:pPr>
            <w:r>
              <w:rPr>
                <w:rFonts w:hint="eastAsia"/>
                <w:b w:val="0"/>
                <w:bCs w:val="0"/>
                <w:sz w:val="22"/>
                <w:szCs w:val="28"/>
                <w:lang w:val="en-US" w:eastAsia="zh-CN"/>
              </w:rPr>
              <w:t>教材分析</w:t>
            </w:r>
          </w:p>
        </w:tc>
        <w:tc>
          <w:tcPr>
            <w:tcW w:w="8378" w:type="dxa"/>
          </w:tcPr>
          <w:p w14:paraId="01FF98A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20" w:lineRule="exact"/>
              <w:ind w:firstLine="480" w:firstLineChars="200"/>
              <w:jc w:val="both"/>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rPr>
              <w:t>本课为《体育与健康课程标准》（2022年版）中健康教育重要的教学内容，更是《生命安全和健康教育进中小学课程教材指南》中重要的组成部分，</w:t>
            </w:r>
            <w:r>
              <w:rPr>
                <w:rFonts w:hint="eastAsia" w:ascii="宋体" w:hAnsi="宋体" w:eastAsia="宋体" w:cs="宋体"/>
                <w:sz w:val="24"/>
                <w:szCs w:val="24"/>
                <w:lang w:val="en-US" w:eastAsia="zh-CN"/>
              </w:rPr>
              <w:t>通过对人体所需能量的直接定量进行分析，合理选择膳食；根据BMI值对照表了解自身体重是否标准；通过对食品标签的学习，大致判断该食品的质量层次。</w:t>
            </w:r>
          </w:p>
        </w:tc>
      </w:tr>
      <w:tr w14:paraId="6351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5" w:hRule="atLeast"/>
        </w:trPr>
        <w:tc>
          <w:tcPr>
            <w:tcW w:w="802" w:type="dxa"/>
            <w:vAlign w:val="center"/>
          </w:tcPr>
          <w:p w14:paraId="5991171B">
            <w:pPr>
              <w:numPr>
                <w:ilvl w:val="0"/>
                <w:numId w:val="0"/>
              </w:numPr>
              <w:jc w:val="center"/>
              <w:rPr>
                <w:rFonts w:hint="default"/>
                <w:b w:val="0"/>
                <w:bCs w:val="0"/>
                <w:sz w:val="22"/>
                <w:szCs w:val="28"/>
                <w:vertAlign w:val="baseline"/>
                <w:lang w:val="en-US" w:eastAsia="zh-CN"/>
              </w:rPr>
            </w:pPr>
            <w:r>
              <w:rPr>
                <w:rFonts w:hint="eastAsia"/>
                <w:b w:val="0"/>
                <w:bCs w:val="0"/>
                <w:sz w:val="22"/>
                <w:szCs w:val="28"/>
                <w:lang w:val="en-US" w:eastAsia="zh-CN"/>
              </w:rPr>
              <w:t>学情分析</w:t>
            </w:r>
          </w:p>
        </w:tc>
        <w:tc>
          <w:tcPr>
            <w:tcW w:w="8378" w:type="dxa"/>
          </w:tcPr>
          <w:p w14:paraId="520D222E">
            <w:pPr>
              <w:keepNext w:val="0"/>
              <w:keepLines w:val="0"/>
              <w:pageBreakBefore w:val="0"/>
              <w:widowControl w:val="0"/>
              <w:kinsoku/>
              <w:wordWrap/>
              <w:overflowPunct/>
              <w:topLinePunct w:val="0"/>
              <w:autoSpaceDE/>
              <w:autoSpaceDN/>
              <w:bidi w:val="0"/>
              <w:adjustRightInd/>
              <w:snapToGrid/>
              <w:spacing w:before="157" w:beforeLines="50" w:line="320" w:lineRule="exact"/>
              <w:ind w:firstLine="480" w:firstLineChars="200"/>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i w:val="0"/>
                <w:iCs w:val="0"/>
                <w:color w:val="000000"/>
                <w:kern w:val="0"/>
                <w:sz w:val="24"/>
                <w:szCs w:val="24"/>
                <w:u w:val="none"/>
                <w:lang w:val="en-US" w:eastAsia="zh-CN" w:bidi="ar"/>
              </w:rPr>
              <w:t>7~9年级学生处于生理和心理发生快速变化的青春发育期，充足的营养摄入、积极的体育锻炼、规律的作息制度和良好的个人卫生等能满足各器官系统和身高体重等生长发育的需要，对学生身心健康的发展十分重要。 通过小学阶段的学习生活，已大致了解合理营养、体育运动、个人卫生等方面的一些健康知识与技能，对健康和健康行为的内涵有了初步的认识，为初中阶段的学习奠定了基础；与此同时，他们尚未形成稳定的科学健康观和健康生活方式，容易受到包括社会、同伴中的不良习气影响，沾染不良嗜好，不仅损害身心健康、影响成长发育，甚至贻害终生。因此通过大单元提供多样化的健康教育活动内容，提升教育效果，加深学生对科学健康观和健康生活方式的理解、认识。</w:t>
            </w:r>
          </w:p>
        </w:tc>
      </w:tr>
      <w:tr w14:paraId="6023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802" w:type="dxa"/>
            <w:vAlign w:val="center"/>
          </w:tcPr>
          <w:p w14:paraId="7430C88C">
            <w:pPr>
              <w:numPr>
                <w:ilvl w:val="0"/>
                <w:numId w:val="0"/>
              </w:numPr>
              <w:jc w:val="center"/>
              <w:rPr>
                <w:rFonts w:hint="default"/>
                <w:b w:val="0"/>
                <w:bCs w:val="0"/>
                <w:sz w:val="22"/>
                <w:szCs w:val="28"/>
                <w:vertAlign w:val="baseline"/>
                <w:lang w:val="en-US" w:eastAsia="zh-CN"/>
              </w:rPr>
            </w:pPr>
            <w:r>
              <w:rPr>
                <w:rFonts w:hint="eastAsia"/>
                <w:b w:val="0"/>
                <w:bCs w:val="0"/>
                <w:sz w:val="22"/>
                <w:szCs w:val="28"/>
                <w:lang w:val="en-US" w:eastAsia="zh-CN"/>
              </w:rPr>
              <w:t>学习目标</w:t>
            </w:r>
          </w:p>
        </w:tc>
        <w:tc>
          <w:tcPr>
            <w:tcW w:w="8378" w:type="dxa"/>
          </w:tcPr>
          <w:p w14:paraId="078F73B8">
            <w:pPr>
              <w:keepNext w:val="0"/>
              <w:keepLines w:val="0"/>
              <w:pageBreakBefore w:val="0"/>
              <w:widowControl/>
              <w:numPr>
                <w:ilvl w:val="0"/>
                <w:numId w:val="1"/>
              </w:numPr>
              <w:suppressLineNumbers w:val="0"/>
              <w:kinsoku/>
              <w:wordWrap/>
              <w:overflowPunct/>
              <w:topLinePunct w:val="0"/>
              <w:autoSpaceDE/>
              <w:autoSpaceDN/>
              <w:bidi w:val="0"/>
              <w:adjustRightInd/>
              <w:snapToGrid/>
              <w:spacing w:before="157" w:beforeLines="50" w:line="320" w:lineRule="exac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了解中学生发育每天所需能量，能通过食品和饮料的标签了解营养和安全状况。</w:t>
            </w:r>
          </w:p>
          <w:p w14:paraId="1427519E">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20" w:lineRule="exact"/>
              <w:jc w:val="left"/>
              <w:textAlignment w:val="center"/>
              <w:rPr>
                <w:rFonts w:hint="eastAsia" w:ascii="宋体" w:hAnsi="宋体" w:eastAsia="宋体" w:cs="宋体"/>
                <w:b/>
                <w:bCs/>
                <w:sz w:val="24"/>
                <w:szCs w:val="24"/>
                <w:vertAlign w:val="baseline"/>
                <w:lang w:val="en-US" w:eastAsia="zh-CN"/>
              </w:rPr>
            </w:pPr>
            <w:r>
              <w:rPr>
                <w:rFonts w:hint="eastAsia" w:ascii="宋体" w:hAnsi="宋体" w:eastAsia="宋体" w:cs="宋体"/>
                <w:i w:val="0"/>
                <w:iCs w:val="0"/>
                <w:color w:val="auto"/>
                <w:kern w:val="0"/>
                <w:sz w:val="24"/>
                <w:szCs w:val="24"/>
                <w:u w:val="none"/>
                <w:lang w:val="en-US" w:eastAsia="zh-CN" w:bidi="ar"/>
              </w:rPr>
              <w:t>（2）能自主测算BMI值，并对数据做出分析评判。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w:t>
            </w:r>
            <w:r>
              <w:rPr>
                <w:rFonts w:hint="eastAsia" w:ascii="宋体" w:hAnsi="宋体" w:eastAsia="宋体" w:cs="宋体"/>
                <w:color w:val="auto"/>
                <w:sz w:val="24"/>
                <w:szCs w:val="24"/>
              </w:rPr>
              <w:t>对健康</w:t>
            </w:r>
            <w:r>
              <w:rPr>
                <w:rFonts w:hint="eastAsia" w:ascii="宋体" w:hAnsi="宋体" w:eastAsia="宋体" w:cs="宋体"/>
                <w:sz w:val="24"/>
                <w:szCs w:val="24"/>
              </w:rPr>
              <w:t>饮食</w:t>
            </w:r>
            <w:r>
              <w:rPr>
                <w:rFonts w:hint="eastAsia" w:ascii="宋体" w:hAnsi="宋体" w:eastAsia="宋体" w:cs="宋体"/>
                <w:sz w:val="24"/>
                <w:szCs w:val="24"/>
                <w:lang w:val="en-US" w:eastAsia="zh-CN"/>
              </w:rPr>
              <w:t>学习有</w:t>
            </w:r>
            <w:r>
              <w:rPr>
                <w:rFonts w:hint="eastAsia" w:ascii="宋体" w:hAnsi="宋体" w:eastAsia="宋体" w:cs="宋体"/>
                <w:sz w:val="24"/>
                <w:szCs w:val="24"/>
              </w:rPr>
              <w:t>兴趣和热情，</w:t>
            </w:r>
            <w:r>
              <w:rPr>
                <w:rFonts w:hint="eastAsia" w:ascii="宋体" w:hAnsi="宋体" w:eastAsia="宋体" w:cs="宋体"/>
                <w:sz w:val="24"/>
                <w:szCs w:val="24"/>
                <w:lang w:val="en-US" w:eastAsia="zh-CN"/>
              </w:rPr>
              <w:t>养成</w:t>
            </w:r>
            <w:r>
              <w:rPr>
                <w:rFonts w:hint="eastAsia" w:ascii="宋体" w:hAnsi="宋体" w:eastAsia="宋体" w:cs="宋体"/>
                <w:sz w:val="24"/>
                <w:szCs w:val="24"/>
              </w:rPr>
              <w:t>合理规划饮食的习惯，树立健康生活的意识。</w:t>
            </w:r>
          </w:p>
        </w:tc>
      </w:tr>
      <w:tr w14:paraId="1ACC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802" w:type="dxa"/>
            <w:vAlign w:val="center"/>
          </w:tcPr>
          <w:p w14:paraId="05F4D87D">
            <w:pPr>
              <w:numPr>
                <w:ilvl w:val="0"/>
                <w:numId w:val="0"/>
              </w:numPr>
              <w:jc w:val="center"/>
              <w:rPr>
                <w:rFonts w:hint="default"/>
                <w:b w:val="0"/>
                <w:bCs w:val="0"/>
                <w:sz w:val="22"/>
                <w:szCs w:val="28"/>
                <w:vertAlign w:val="baseline"/>
                <w:lang w:val="en-US" w:eastAsia="zh-CN"/>
              </w:rPr>
            </w:pPr>
            <w:r>
              <w:rPr>
                <w:rFonts w:hint="eastAsia"/>
                <w:b w:val="0"/>
                <w:bCs w:val="0"/>
                <w:sz w:val="22"/>
                <w:szCs w:val="28"/>
                <w:lang w:val="en-US" w:eastAsia="zh-CN"/>
              </w:rPr>
              <w:t>学习重难点</w:t>
            </w:r>
          </w:p>
        </w:tc>
        <w:tc>
          <w:tcPr>
            <w:tcW w:w="8378" w:type="dxa"/>
            <w:vAlign w:val="center"/>
          </w:tcPr>
          <w:p w14:paraId="6B7C157B">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left"/>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重点：掌握能量转换方式与膳食宝塔搭配，了解七大营养素作用；</w:t>
            </w:r>
          </w:p>
          <w:p w14:paraId="2DD2EDF0">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left"/>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vertAlign w:val="baseline"/>
                <w:lang w:val="en-US" w:eastAsia="zh-CN"/>
              </w:rPr>
              <w:t>难点：养成健康合理的饮食习惯，能根据自身BMI值积极做出调整；</w:t>
            </w:r>
          </w:p>
        </w:tc>
      </w:tr>
      <w:tr w14:paraId="4051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802" w:type="dxa"/>
            <w:vAlign w:val="center"/>
          </w:tcPr>
          <w:p w14:paraId="4213E702">
            <w:pPr>
              <w:numPr>
                <w:ilvl w:val="0"/>
                <w:numId w:val="0"/>
              </w:numPr>
              <w:jc w:val="center"/>
              <w:rPr>
                <w:rFonts w:hint="default"/>
                <w:b w:val="0"/>
                <w:bCs w:val="0"/>
                <w:sz w:val="22"/>
                <w:szCs w:val="28"/>
                <w:vertAlign w:val="baseline"/>
                <w:lang w:val="en-US" w:eastAsia="zh-CN"/>
              </w:rPr>
            </w:pPr>
            <w:r>
              <w:rPr>
                <w:rFonts w:hint="eastAsia"/>
                <w:b w:val="0"/>
                <w:bCs w:val="0"/>
                <w:sz w:val="22"/>
                <w:szCs w:val="28"/>
                <w:lang w:val="en-US" w:eastAsia="zh-CN"/>
              </w:rPr>
              <w:t>教学方法</w:t>
            </w:r>
          </w:p>
        </w:tc>
        <w:tc>
          <w:tcPr>
            <w:tcW w:w="8378" w:type="dxa"/>
            <w:vAlign w:val="center"/>
          </w:tcPr>
          <w:p w14:paraId="3BC1472B">
            <w:pPr>
              <w:keepNext w:val="0"/>
              <w:keepLines w:val="0"/>
              <w:pageBreakBefore w:val="0"/>
              <w:widowControl/>
              <w:kinsoku/>
              <w:wordWrap/>
              <w:overflowPunct/>
              <w:topLinePunct w:val="0"/>
              <w:autoSpaceDE/>
              <w:autoSpaceDN/>
              <w:bidi w:val="0"/>
              <w:adjustRightInd/>
              <w:snapToGrid/>
              <w:spacing w:before="157" w:beforeLines="50" w:line="320" w:lineRule="exact"/>
              <w:jc w:val="left"/>
              <w:rPr>
                <w:rFonts w:hint="eastAsia" w:ascii="宋体" w:hAnsi="宋体" w:eastAsia="宋体" w:cs="宋体"/>
                <w:sz w:val="24"/>
                <w:szCs w:val="24"/>
              </w:rPr>
            </w:pPr>
            <w:r>
              <w:rPr>
                <w:rFonts w:hint="eastAsia" w:ascii="宋体" w:hAnsi="宋体" w:eastAsia="宋体" w:cs="宋体"/>
                <w:sz w:val="24"/>
                <w:szCs w:val="24"/>
              </w:rPr>
              <w:t>教法：启发法、归纳法和讨论法等。</w:t>
            </w:r>
          </w:p>
          <w:p w14:paraId="0F826D26">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left"/>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rPr>
              <w:t>学法：小组合作学习法、观摩思考等。</w:t>
            </w:r>
          </w:p>
        </w:tc>
      </w:tr>
      <w:tr w14:paraId="5408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802" w:type="dxa"/>
            <w:vMerge w:val="restart"/>
            <w:vAlign w:val="center"/>
          </w:tcPr>
          <w:p w14:paraId="61A9DEE9">
            <w:pPr>
              <w:numPr>
                <w:ilvl w:val="0"/>
                <w:numId w:val="0"/>
              </w:numPr>
              <w:jc w:val="center"/>
              <w:rPr>
                <w:rFonts w:hint="eastAsia"/>
                <w:b w:val="0"/>
                <w:bCs w:val="0"/>
                <w:sz w:val="22"/>
                <w:szCs w:val="28"/>
                <w:lang w:val="en-US" w:eastAsia="zh-CN"/>
              </w:rPr>
            </w:pPr>
          </w:p>
          <w:p w14:paraId="0A576C78">
            <w:pPr>
              <w:numPr>
                <w:ilvl w:val="0"/>
                <w:numId w:val="0"/>
              </w:numPr>
              <w:jc w:val="center"/>
              <w:rPr>
                <w:rFonts w:hint="eastAsia"/>
                <w:b w:val="0"/>
                <w:bCs w:val="0"/>
                <w:sz w:val="22"/>
                <w:szCs w:val="28"/>
                <w:lang w:val="en-US" w:eastAsia="zh-CN"/>
              </w:rPr>
            </w:pPr>
          </w:p>
          <w:p w14:paraId="6AD5FAC7">
            <w:pPr>
              <w:numPr>
                <w:ilvl w:val="0"/>
                <w:numId w:val="0"/>
              </w:numPr>
              <w:jc w:val="center"/>
              <w:rPr>
                <w:rFonts w:hint="eastAsia"/>
                <w:b w:val="0"/>
                <w:bCs w:val="0"/>
                <w:sz w:val="22"/>
                <w:szCs w:val="28"/>
                <w:lang w:val="en-US" w:eastAsia="zh-CN"/>
              </w:rPr>
            </w:pPr>
          </w:p>
          <w:p w14:paraId="6B91239C">
            <w:pPr>
              <w:numPr>
                <w:ilvl w:val="0"/>
                <w:numId w:val="0"/>
              </w:numPr>
              <w:jc w:val="center"/>
              <w:rPr>
                <w:rFonts w:hint="eastAsia"/>
                <w:b w:val="0"/>
                <w:bCs w:val="0"/>
                <w:sz w:val="22"/>
                <w:szCs w:val="28"/>
                <w:lang w:val="en-US" w:eastAsia="zh-CN"/>
              </w:rPr>
            </w:pPr>
          </w:p>
          <w:p w14:paraId="22C0CFEE">
            <w:pPr>
              <w:numPr>
                <w:ilvl w:val="0"/>
                <w:numId w:val="0"/>
              </w:numPr>
              <w:jc w:val="center"/>
              <w:rPr>
                <w:rFonts w:hint="eastAsia"/>
                <w:b w:val="0"/>
                <w:bCs w:val="0"/>
                <w:sz w:val="22"/>
                <w:szCs w:val="28"/>
                <w:lang w:val="en-US" w:eastAsia="zh-CN"/>
              </w:rPr>
            </w:pPr>
            <w:r>
              <w:rPr>
                <w:rFonts w:hint="eastAsia"/>
                <w:b w:val="0"/>
                <w:bCs w:val="0"/>
                <w:sz w:val="22"/>
                <w:szCs w:val="28"/>
                <w:lang w:val="en-US" w:eastAsia="zh-CN"/>
              </w:rPr>
              <w:t>教</w:t>
            </w:r>
          </w:p>
          <w:p w14:paraId="06136748">
            <w:pPr>
              <w:numPr>
                <w:ilvl w:val="0"/>
                <w:numId w:val="0"/>
              </w:numPr>
              <w:jc w:val="center"/>
              <w:rPr>
                <w:rFonts w:hint="eastAsia"/>
                <w:b w:val="0"/>
                <w:bCs w:val="0"/>
                <w:sz w:val="22"/>
                <w:szCs w:val="28"/>
                <w:lang w:val="en-US" w:eastAsia="zh-CN"/>
              </w:rPr>
            </w:pPr>
          </w:p>
          <w:p w14:paraId="199206DD">
            <w:pPr>
              <w:numPr>
                <w:ilvl w:val="0"/>
                <w:numId w:val="0"/>
              </w:numPr>
              <w:jc w:val="center"/>
              <w:rPr>
                <w:rFonts w:hint="eastAsia"/>
                <w:b w:val="0"/>
                <w:bCs w:val="0"/>
                <w:sz w:val="22"/>
                <w:szCs w:val="28"/>
                <w:lang w:val="en-US" w:eastAsia="zh-CN"/>
              </w:rPr>
            </w:pPr>
          </w:p>
          <w:p w14:paraId="34495490">
            <w:pPr>
              <w:numPr>
                <w:ilvl w:val="0"/>
                <w:numId w:val="0"/>
              </w:numPr>
              <w:jc w:val="center"/>
              <w:rPr>
                <w:rFonts w:hint="eastAsia"/>
                <w:b w:val="0"/>
                <w:bCs w:val="0"/>
                <w:sz w:val="22"/>
                <w:szCs w:val="28"/>
                <w:lang w:val="en-US" w:eastAsia="zh-CN"/>
              </w:rPr>
            </w:pPr>
          </w:p>
          <w:p w14:paraId="1F9E68B0">
            <w:pPr>
              <w:numPr>
                <w:ilvl w:val="0"/>
                <w:numId w:val="0"/>
              </w:numPr>
              <w:jc w:val="center"/>
              <w:rPr>
                <w:rFonts w:hint="eastAsia"/>
                <w:b w:val="0"/>
                <w:bCs w:val="0"/>
                <w:sz w:val="22"/>
                <w:szCs w:val="28"/>
                <w:lang w:val="en-US" w:eastAsia="zh-CN"/>
              </w:rPr>
            </w:pPr>
          </w:p>
          <w:p w14:paraId="381EFC8C">
            <w:pPr>
              <w:numPr>
                <w:ilvl w:val="0"/>
                <w:numId w:val="0"/>
              </w:numPr>
              <w:jc w:val="center"/>
              <w:rPr>
                <w:rFonts w:hint="eastAsia"/>
                <w:b w:val="0"/>
                <w:bCs w:val="0"/>
                <w:sz w:val="22"/>
                <w:szCs w:val="28"/>
                <w:lang w:val="en-US" w:eastAsia="zh-CN"/>
              </w:rPr>
            </w:pPr>
            <w:r>
              <w:rPr>
                <w:rFonts w:hint="eastAsia"/>
                <w:b w:val="0"/>
                <w:bCs w:val="0"/>
                <w:sz w:val="22"/>
                <w:szCs w:val="28"/>
                <w:lang w:val="en-US" w:eastAsia="zh-CN"/>
              </w:rPr>
              <w:t>学</w:t>
            </w:r>
          </w:p>
          <w:p w14:paraId="220082F2">
            <w:pPr>
              <w:numPr>
                <w:ilvl w:val="0"/>
                <w:numId w:val="0"/>
              </w:numPr>
              <w:jc w:val="center"/>
              <w:rPr>
                <w:rFonts w:hint="eastAsia"/>
                <w:b w:val="0"/>
                <w:bCs w:val="0"/>
                <w:sz w:val="22"/>
                <w:szCs w:val="28"/>
                <w:lang w:val="en-US" w:eastAsia="zh-CN"/>
              </w:rPr>
            </w:pPr>
          </w:p>
          <w:p w14:paraId="0A487E11">
            <w:pPr>
              <w:numPr>
                <w:ilvl w:val="0"/>
                <w:numId w:val="0"/>
              </w:numPr>
              <w:jc w:val="center"/>
              <w:rPr>
                <w:rFonts w:hint="eastAsia"/>
                <w:b w:val="0"/>
                <w:bCs w:val="0"/>
                <w:sz w:val="22"/>
                <w:szCs w:val="28"/>
                <w:lang w:val="en-US" w:eastAsia="zh-CN"/>
              </w:rPr>
            </w:pPr>
          </w:p>
          <w:p w14:paraId="208C033C">
            <w:pPr>
              <w:numPr>
                <w:ilvl w:val="0"/>
                <w:numId w:val="0"/>
              </w:numPr>
              <w:jc w:val="center"/>
              <w:rPr>
                <w:rFonts w:hint="eastAsia"/>
                <w:b w:val="0"/>
                <w:bCs w:val="0"/>
                <w:sz w:val="22"/>
                <w:szCs w:val="28"/>
                <w:lang w:val="en-US" w:eastAsia="zh-CN"/>
              </w:rPr>
            </w:pPr>
            <w:r>
              <w:rPr>
                <w:rFonts w:hint="eastAsia"/>
                <w:b w:val="0"/>
                <w:bCs w:val="0"/>
                <w:sz w:val="22"/>
                <w:szCs w:val="28"/>
                <w:lang w:val="en-US" w:eastAsia="zh-CN"/>
              </w:rPr>
              <w:t>过</w:t>
            </w:r>
          </w:p>
          <w:p w14:paraId="043F8C90">
            <w:pPr>
              <w:numPr>
                <w:ilvl w:val="0"/>
                <w:numId w:val="0"/>
              </w:numPr>
              <w:jc w:val="center"/>
              <w:rPr>
                <w:rFonts w:hint="eastAsia"/>
                <w:b w:val="0"/>
                <w:bCs w:val="0"/>
                <w:sz w:val="22"/>
                <w:szCs w:val="28"/>
                <w:lang w:val="en-US" w:eastAsia="zh-CN"/>
              </w:rPr>
            </w:pPr>
          </w:p>
          <w:p w14:paraId="505B813A">
            <w:pPr>
              <w:numPr>
                <w:ilvl w:val="0"/>
                <w:numId w:val="0"/>
              </w:numPr>
              <w:jc w:val="center"/>
              <w:rPr>
                <w:rFonts w:hint="eastAsia"/>
                <w:b w:val="0"/>
                <w:bCs w:val="0"/>
                <w:sz w:val="22"/>
                <w:szCs w:val="28"/>
                <w:lang w:val="en-US" w:eastAsia="zh-CN"/>
              </w:rPr>
            </w:pPr>
          </w:p>
          <w:p w14:paraId="120C294E">
            <w:pPr>
              <w:numPr>
                <w:ilvl w:val="0"/>
                <w:numId w:val="0"/>
              </w:numPr>
              <w:jc w:val="center"/>
              <w:rPr>
                <w:rFonts w:hint="eastAsia"/>
                <w:b w:val="0"/>
                <w:bCs w:val="0"/>
                <w:sz w:val="22"/>
                <w:szCs w:val="28"/>
                <w:lang w:val="en-US" w:eastAsia="zh-CN"/>
              </w:rPr>
            </w:pPr>
          </w:p>
          <w:p w14:paraId="4670BCC7">
            <w:pPr>
              <w:numPr>
                <w:ilvl w:val="0"/>
                <w:numId w:val="0"/>
              </w:numPr>
              <w:jc w:val="center"/>
              <w:rPr>
                <w:rFonts w:hint="eastAsia"/>
                <w:b w:val="0"/>
                <w:bCs w:val="0"/>
                <w:sz w:val="22"/>
                <w:szCs w:val="28"/>
                <w:lang w:val="en-US" w:eastAsia="zh-CN"/>
              </w:rPr>
            </w:pPr>
            <w:r>
              <w:rPr>
                <w:rFonts w:hint="eastAsia"/>
                <w:b w:val="0"/>
                <w:bCs w:val="0"/>
                <w:sz w:val="22"/>
                <w:szCs w:val="28"/>
                <w:lang w:val="en-US" w:eastAsia="zh-CN"/>
              </w:rPr>
              <w:t>程</w:t>
            </w:r>
          </w:p>
          <w:p w14:paraId="5AF36B87">
            <w:pPr>
              <w:numPr>
                <w:ilvl w:val="0"/>
                <w:numId w:val="0"/>
              </w:numPr>
              <w:jc w:val="center"/>
              <w:rPr>
                <w:rFonts w:hint="eastAsia"/>
                <w:b w:val="0"/>
                <w:bCs w:val="0"/>
                <w:sz w:val="22"/>
                <w:szCs w:val="28"/>
                <w:lang w:val="en-US" w:eastAsia="zh-CN"/>
              </w:rPr>
            </w:pPr>
          </w:p>
          <w:p w14:paraId="1318BBE0">
            <w:pPr>
              <w:numPr>
                <w:ilvl w:val="0"/>
                <w:numId w:val="0"/>
              </w:numPr>
              <w:jc w:val="center"/>
              <w:rPr>
                <w:rFonts w:hint="eastAsia"/>
                <w:b w:val="0"/>
                <w:bCs w:val="0"/>
                <w:sz w:val="22"/>
                <w:szCs w:val="28"/>
                <w:lang w:val="en-US" w:eastAsia="zh-CN"/>
              </w:rPr>
            </w:pPr>
          </w:p>
          <w:p w14:paraId="4D652C95">
            <w:pPr>
              <w:numPr>
                <w:ilvl w:val="0"/>
                <w:numId w:val="0"/>
              </w:numPr>
              <w:jc w:val="center"/>
              <w:rPr>
                <w:rFonts w:hint="eastAsia"/>
                <w:b w:val="0"/>
                <w:bCs w:val="0"/>
                <w:sz w:val="22"/>
                <w:szCs w:val="28"/>
                <w:lang w:val="en-US" w:eastAsia="zh-CN"/>
              </w:rPr>
            </w:pPr>
            <w:r>
              <w:rPr>
                <w:rFonts w:hint="eastAsia"/>
                <w:b w:val="0"/>
                <w:bCs w:val="0"/>
                <w:sz w:val="22"/>
                <w:szCs w:val="28"/>
                <w:lang w:val="en-US" w:eastAsia="zh-CN"/>
              </w:rPr>
              <w:t>设</w:t>
            </w:r>
          </w:p>
          <w:p w14:paraId="416C248D">
            <w:pPr>
              <w:numPr>
                <w:ilvl w:val="0"/>
                <w:numId w:val="0"/>
              </w:numPr>
              <w:jc w:val="center"/>
              <w:rPr>
                <w:rFonts w:hint="eastAsia"/>
                <w:b w:val="0"/>
                <w:bCs w:val="0"/>
                <w:sz w:val="22"/>
                <w:szCs w:val="28"/>
                <w:lang w:val="en-US" w:eastAsia="zh-CN"/>
              </w:rPr>
            </w:pPr>
          </w:p>
          <w:p w14:paraId="0CB87A1B">
            <w:pPr>
              <w:numPr>
                <w:ilvl w:val="0"/>
                <w:numId w:val="0"/>
              </w:numPr>
              <w:jc w:val="center"/>
              <w:rPr>
                <w:rFonts w:hint="eastAsia"/>
                <w:b w:val="0"/>
                <w:bCs w:val="0"/>
                <w:sz w:val="22"/>
                <w:szCs w:val="28"/>
                <w:lang w:val="en-US" w:eastAsia="zh-CN"/>
              </w:rPr>
            </w:pPr>
          </w:p>
          <w:p w14:paraId="6E3D366C">
            <w:pPr>
              <w:numPr>
                <w:ilvl w:val="0"/>
                <w:numId w:val="0"/>
              </w:numPr>
              <w:jc w:val="center"/>
              <w:rPr>
                <w:rFonts w:hint="default"/>
                <w:b w:val="0"/>
                <w:bCs w:val="0"/>
                <w:sz w:val="22"/>
                <w:szCs w:val="28"/>
                <w:vertAlign w:val="baseline"/>
                <w:lang w:val="en-US" w:eastAsia="zh-CN"/>
              </w:rPr>
            </w:pPr>
            <w:r>
              <w:rPr>
                <w:rFonts w:hint="eastAsia"/>
                <w:b w:val="0"/>
                <w:bCs w:val="0"/>
                <w:sz w:val="22"/>
                <w:szCs w:val="28"/>
                <w:lang w:val="en-US" w:eastAsia="zh-CN"/>
              </w:rPr>
              <w:t>计</w:t>
            </w:r>
          </w:p>
        </w:tc>
        <w:tc>
          <w:tcPr>
            <w:tcW w:w="8378" w:type="dxa"/>
          </w:tcPr>
          <w:p w14:paraId="391F42B1">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b/>
                <w:bCs/>
                <w:sz w:val="24"/>
                <w:szCs w:val="24"/>
                <w:vertAlign w:val="baseline"/>
                <w:lang w:val="en-US" w:eastAsia="zh-CN"/>
              </w:rPr>
            </w:pPr>
            <w:r>
              <w:rPr>
                <w:rFonts w:hint="eastAsia" w:ascii="宋体" w:hAnsi="宋体" w:eastAsia="宋体" w:cs="宋体"/>
                <w:b/>
                <w:bCs/>
                <w:kern w:val="2"/>
                <w:sz w:val="24"/>
                <w:szCs w:val="24"/>
                <w:vertAlign w:val="baseline"/>
                <w:lang w:val="en-US" w:eastAsia="zh-CN" w:bidi="ar-SA"/>
              </w:rPr>
              <w:t>一．</w:t>
            </w:r>
            <w:r>
              <w:rPr>
                <w:rFonts w:hint="eastAsia" w:ascii="宋体" w:hAnsi="宋体" w:eastAsia="宋体" w:cs="宋体"/>
                <w:b/>
                <w:bCs/>
                <w:sz w:val="24"/>
                <w:szCs w:val="24"/>
                <w:vertAlign w:val="baseline"/>
                <w:lang w:val="en-US" w:eastAsia="zh-CN"/>
              </w:rPr>
              <w:t>创设情境，导入新课</w:t>
            </w:r>
          </w:p>
          <w:p w14:paraId="322958F2">
            <w:pPr>
              <w:keepNext w:val="0"/>
              <w:keepLines w:val="0"/>
              <w:pageBreakBefore w:val="0"/>
              <w:numPr>
                <w:ilvl w:val="0"/>
                <w:numId w:val="2"/>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通过生活常见打招呼方式引出“吃”的重要性；</w:t>
            </w:r>
          </w:p>
          <w:p w14:paraId="58B29377">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回答问题“为什么要吃东西”：（1）维持生命活动运转</w:t>
            </w:r>
          </w:p>
          <w:p w14:paraId="00D33A06">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 xml:space="preserve">                            （2）满足心理情感的需要</w:t>
            </w:r>
          </w:p>
          <w:p w14:paraId="061D9D32">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（设计意图：以</w:t>
            </w:r>
            <w:r>
              <w:rPr>
                <w:rFonts w:hint="eastAsia" w:ascii="宋体" w:hAnsi="宋体" w:eastAsia="宋体" w:cs="宋体"/>
                <w:b w:val="0"/>
                <w:bCs w:val="0"/>
                <w:sz w:val="24"/>
                <w:szCs w:val="24"/>
                <w:lang w:val="en-US" w:eastAsia="zh-CN"/>
              </w:rPr>
              <w:t>生活场景导入新课</w:t>
            </w:r>
            <w:r>
              <w:rPr>
                <w:rFonts w:hint="eastAsia" w:ascii="宋体" w:hAnsi="宋体" w:eastAsia="宋体" w:cs="宋体"/>
                <w:b w:val="0"/>
                <w:bCs w:val="0"/>
                <w:sz w:val="24"/>
                <w:szCs w:val="24"/>
              </w:rPr>
              <w:t>，拉进教师和学生距离，提高学生们的学习兴趣，活跃课堂氛围。）</w:t>
            </w:r>
          </w:p>
          <w:p w14:paraId="6328B0D9">
            <w:pPr>
              <w:keepNext w:val="0"/>
              <w:keepLines w:val="0"/>
              <w:pageBreakBefore w:val="0"/>
              <w:numPr>
                <w:ilvl w:val="0"/>
                <w:numId w:val="3"/>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水池实验，模拟人体摄</w:t>
            </w:r>
            <w:bookmarkStart w:id="0" w:name="_GoBack"/>
            <w:bookmarkEnd w:id="0"/>
            <w:r>
              <w:rPr>
                <w:rFonts w:hint="eastAsia" w:ascii="宋体" w:hAnsi="宋体" w:eastAsia="宋体" w:cs="宋体"/>
                <w:i w:val="0"/>
                <w:iCs w:val="0"/>
                <w:color w:val="auto"/>
                <w:kern w:val="0"/>
                <w:sz w:val="24"/>
                <w:szCs w:val="24"/>
                <w:u w:val="none"/>
                <w:lang w:val="en-US" w:eastAsia="zh-CN" w:bidi="ar"/>
              </w:rPr>
              <w:t>入能量与消耗能量；</w:t>
            </w:r>
          </w:p>
          <w:p w14:paraId="1FE00076">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b w:val="0"/>
                <w:bCs w:val="0"/>
                <w:sz w:val="24"/>
                <w:szCs w:val="24"/>
              </w:rPr>
              <w:t>（设计意图：</w:t>
            </w:r>
            <w:r>
              <w:rPr>
                <w:rFonts w:hint="eastAsia" w:ascii="宋体" w:hAnsi="宋体" w:eastAsia="宋体" w:cs="宋体"/>
                <w:b w:val="0"/>
                <w:bCs w:val="0"/>
                <w:sz w:val="24"/>
                <w:szCs w:val="24"/>
                <w:lang w:val="en-US" w:eastAsia="zh-CN"/>
              </w:rPr>
              <w:t>通过视频，直观了解人体摄入与消耗能量不平衡带来的变化，引出新课</w:t>
            </w:r>
            <w:r>
              <w:rPr>
                <w:rFonts w:hint="eastAsia" w:ascii="宋体" w:hAnsi="宋体" w:eastAsia="宋体" w:cs="宋体"/>
                <w:b w:val="0"/>
                <w:bCs w:val="0"/>
                <w:sz w:val="24"/>
                <w:szCs w:val="24"/>
              </w:rPr>
              <w:t>。）</w:t>
            </w:r>
          </w:p>
        </w:tc>
      </w:tr>
      <w:tr w14:paraId="2CEE5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4" w:hRule="atLeast"/>
        </w:trPr>
        <w:tc>
          <w:tcPr>
            <w:tcW w:w="802" w:type="dxa"/>
            <w:vMerge w:val="continue"/>
            <w:vAlign w:val="center"/>
          </w:tcPr>
          <w:p w14:paraId="7CF0F600">
            <w:pPr>
              <w:numPr>
                <w:ilvl w:val="0"/>
                <w:numId w:val="0"/>
              </w:numPr>
              <w:jc w:val="center"/>
              <w:rPr>
                <w:rFonts w:hint="eastAsia"/>
                <w:b w:val="0"/>
                <w:bCs w:val="0"/>
                <w:sz w:val="22"/>
                <w:szCs w:val="28"/>
                <w:lang w:val="en-US" w:eastAsia="zh-CN"/>
              </w:rPr>
            </w:pPr>
          </w:p>
        </w:tc>
        <w:tc>
          <w:tcPr>
            <w:tcW w:w="8378" w:type="dxa"/>
          </w:tcPr>
          <w:p w14:paraId="584654CE">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二．知识大爆炸，争做“不白吃”</w:t>
            </w:r>
          </w:p>
          <w:p w14:paraId="61121FC8">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default"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1.卡路里与焦耳</w:t>
            </w:r>
          </w:p>
          <w:p w14:paraId="7139E4E9">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介绍能量单位卡路里C与焦耳J,讲解它们之间的关系；</w:t>
            </w:r>
          </w:p>
          <w:p w14:paraId="147139D1">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1000C=1KC,1000J=1KJ。1C=4.184J(1C≈4.2J);1J</w:t>
            </w:r>
            <w:r>
              <w:rPr>
                <w:rFonts w:hint="default" w:ascii="Arial" w:hAnsi="Arial" w:eastAsia="宋体" w:cs="Arial"/>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0.24C;1KJ</w:t>
            </w:r>
            <w:r>
              <w:rPr>
                <w:rFonts w:hint="default" w:ascii="Arial" w:hAnsi="Arial" w:eastAsia="宋体" w:cs="Arial"/>
                <w:i w:val="0"/>
                <w:iCs w:val="0"/>
                <w:color w:val="auto"/>
                <w:kern w:val="0"/>
                <w:sz w:val="24"/>
                <w:szCs w:val="24"/>
                <w:u w:val="none"/>
                <w:lang w:val="en-US" w:eastAsia="zh-CN" w:bidi="ar"/>
              </w:rPr>
              <w:t>≈</w:t>
            </w:r>
            <w:r>
              <w:rPr>
                <w:rFonts w:hint="eastAsia" w:ascii="Arial" w:hAnsi="Arial" w:eastAsia="宋体" w:cs="Arial"/>
                <w:i w:val="0"/>
                <w:iCs w:val="0"/>
                <w:color w:val="auto"/>
                <w:kern w:val="0"/>
                <w:sz w:val="24"/>
                <w:szCs w:val="24"/>
                <w:u w:val="none"/>
                <w:lang w:val="en-US" w:eastAsia="zh-CN" w:bidi="ar"/>
              </w:rPr>
              <w:t>0.24KC</w:t>
            </w:r>
          </w:p>
          <w:p w14:paraId="5643F90E">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default"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2.膳食宝塔与食物估重</w:t>
            </w:r>
          </w:p>
          <w:p w14:paraId="46915B28">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讲解中国居民膳食宝塔与粗略测算食物重量，根据个人所需能量要求，小组讨论设计一日三餐膳食计划；</w:t>
            </w:r>
          </w:p>
          <w:p w14:paraId="0B0C8470">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（食物五大类：谷薯类、蔬菜水果类、畜禽鱼蛋类、乳类大豆坚果类和油脂类。）</w:t>
            </w:r>
          </w:p>
          <w:p w14:paraId="21E7B2C2">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（食物分量对照：拳、掌）</w:t>
            </w:r>
          </w:p>
          <w:p w14:paraId="2312B215">
            <w:pPr>
              <w:keepNext w:val="0"/>
              <w:keepLines w:val="0"/>
              <w:pageBreakBefore w:val="0"/>
              <w:numPr>
                <w:ilvl w:val="0"/>
                <w:numId w:val="3"/>
              </w:numPr>
              <w:kinsoku/>
              <w:wordWrap/>
              <w:overflowPunct/>
              <w:topLinePunct w:val="0"/>
              <w:autoSpaceDE/>
              <w:autoSpaceDN/>
              <w:bidi w:val="0"/>
              <w:adjustRightInd/>
              <w:snapToGrid/>
              <w:spacing w:before="157" w:beforeLines="50" w:line="320" w:lineRule="exact"/>
              <w:ind w:left="0" w:leftChars="0" w:firstLine="0" w:firstLineChars="0"/>
              <w:jc w:val="both"/>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查看食品标签：分析营养成分表与配料表；</w:t>
            </w:r>
          </w:p>
          <w:p w14:paraId="3C6388F2">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ind w:leftChars="0"/>
              <w:jc w:val="both"/>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（设计意图：通过生活中常见零食饮料的标签分析其提供的能量，并与主食进行对比，警示学生少吃零食）</w:t>
            </w:r>
          </w:p>
          <w:p w14:paraId="10E85286">
            <w:pPr>
              <w:keepNext w:val="0"/>
              <w:keepLines w:val="0"/>
              <w:pageBreakBefore w:val="0"/>
              <w:numPr>
                <w:ilvl w:val="0"/>
                <w:numId w:val="3"/>
              </w:numPr>
              <w:kinsoku/>
              <w:wordWrap/>
              <w:overflowPunct/>
              <w:topLinePunct w:val="0"/>
              <w:autoSpaceDE/>
              <w:autoSpaceDN/>
              <w:bidi w:val="0"/>
              <w:adjustRightInd/>
              <w:snapToGrid/>
              <w:spacing w:before="157" w:beforeLines="50" w:line="320" w:lineRule="exact"/>
              <w:ind w:left="0" w:leftChars="0" w:firstLine="0" w:firstLineChars="0"/>
              <w:jc w:val="both"/>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计算BMI值，摆脱身材焦虑</w:t>
            </w:r>
          </w:p>
          <w:p w14:paraId="7129D4E9">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ind w:leftChars="0"/>
              <w:jc w:val="both"/>
              <w:rPr>
                <w:rFonts w:hint="eastAsia" w:ascii="宋体" w:hAnsi="宋体" w:eastAsia="宋体" w:cs="宋体"/>
                <w:b/>
                <w:bCs/>
                <w:i w:val="0"/>
                <w:iCs w:val="0"/>
                <w:color w:val="auto"/>
                <w:kern w:val="0"/>
                <w:sz w:val="24"/>
                <w:szCs w:val="24"/>
                <w:u w:val="none"/>
                <w:vertAlign w:val="superscript"/>
                <w:lang w:val="en-US" w:eastAsia="zh-CN" w:bidi="ar"/>
              </w:rPr>
            </w:pPr>
            <w:r>
              <w:rPr>
                <w:rFonts w:hint="eastAsia" w:ascii="宋体" w:hAnsi="宋体" w:eastAsia="宋体" w:cs="宋体"/>
                <w:b/>
                <w:bCs/>
                <w:i w:val="0"/>
                <w:iCs w:val="0"/>
                <w:color w:val="auto"/>
                <w:kern w:val="0"/>
                <w:sz w:val="24"/>
                <w:szCs w:val="24"/>
                <w:u w:val="none"/>
                <w:lang w:val="en-US" w:eastAsia="zh-CN" w:bidi="ar"/>
              </w:rPr>
              <w:t>BMI=体重（kg）/身高</w:t>
            </w:r>
            <w:r>
              <w:rPr>
                <w:rFonts w:hint="eastAsia" w:ascii="宋体" w:hAnsi="宋体" w:eastAsia="宋体" w:cs="宋体"/>
                <w:b/>
                <w:bCs/>
                <w:i w:val="0"/>
                <w:iCs w:val="0"/>
                <w:color w:val="auto"/>
                <w:kern w:val="0"/>
                <w:sz w:val="24"/>
                <w:szCs w:val="24"/>
                <w:u w:val="none"/>
                <w:vertAlign w:val="superscript"/>
                <w:lang w:val="en-US" w:eastAsia="zh-CN" w:bidi="ar"/>
              </w:rPr>
              <w:t>2</w:t>
            </w:r>
          </w:p>
          <w:p w14:paraId="14124965">
            <w:pPr>
              <w:keepNext w:val="0"/>
              <w:keepLines w:val="0"/>
              <w:pageBreakBefore w:val="0"/>
              <w:numPr>
                <w:ilvl w:val="0"/>
                <w:numId w:val="0"/>
              </w:numPr>
              <w:kinsoku/>
              <w:wordWrap/>
              <w:overflowPunct/>
              <w:topLinePunct w:val="0"/>
              <w:autoSpaceDE/>
              <w:autoSpaceDN/>
              <w:bidi w:val="0"/>
              <w:adjustRightInd/>
              <w:snapToGrid/>
              <w:spacing w:before="157" w:beforeLines="50" w:line="320" w:lineRule="exact"/>
              <w:ind w:leftChars="0"/>
              <w:jc w:val="both"/>
              <w:rPr>
                <w:rFonts w:hint="default" w:ascii="宋体" w:hAnsi="宋体" w:eastAsia="宋体" w:cs="宋体"/>
                <w:b/>
                <w:bCs/>
                <w:i w:val="0"/>
                <w:iCs w:val="0"/>
                <w:color w:val="auto"/>
                <w:kern w:val="0"/>
                <w:sz w:val="24"/>
                <w:szCs w:val="24"/>
                <w:u w:val="none"/>
                <w:vertAlign w:val="superscript"/>
                <w:lang w:val="en-US" w:eastAsia="zh-CN" w:bidi="ar"/>
              </w:rPr>
            </w:pPr>
            <w:r>
              <w:rPr>
                <w:rFonts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436245</wp:posOffset>
                  </wp:positionH>
                  <wp:positionV relativeFrom="paragraph">
                    <wp:posOffset>43180</wp:posOffset>
                  </wp:positionV>
                  <wp:extent cx="3753485" cy="1885950"/>
                  <wp:effectExtent l="0" t="0" r="0" b="0"/>
                  <wp:wrapTight wrapText="bothSides">
                    <wp:wrapPolygon>
                      <wp:start x="0" y="0"/>
                      <wp:lineTo x="0" y="21491"/>
                      <wp:lineTo x="21542" y="21491"/>
                      <wp:lineTo x="21542" y="0"/>
                      <wp:lineTo x="0" y="0"/>
                    </wp:wrapPolygon>
                  </wp:wrapTight>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4"/>
                          <a:srcRect t="17339" r="2652"/>
                          <a:stretch>
                            <a:fillRect/>
                          </a:stretch>
                        </pic:blipFill>
                        <pic:spPr>
                          <a:xfrm>
                            <a:off x="0" y="0"/>
                            <a:ext cx="3753485" cy="1885950"/>
                          </a:xfrm>
                          <a:prstGeom prst="rect">
                            <a:avLst/>
                          </a:prstGeom>
                          <a:noFill/>
                          <a:ln w="9525">
                            <a:noFill/>
                          </a:ln>
                        </pic:spPr>
                      </pic:pic>
                    </a:graphicData>
                  </a:graphic>
                </wp:anchor>
              </w:drawing>
            </w:r>
          </w:p>
        </w:tc>
      </w:tr>
      <w:tr w14:paraId="4F09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2" w:type="dxa"/>
            <w:vMerge w:val="continue"/>
            <w:vAlign w:val="center"/>
          </w:tcPr>
          <w:p w14:paraId="628A4B1F">
            <w:pPr>
              <w:numPr>
                <w:ilvl w:val="0"/>
                <w:numId w:val="0"/>
              </w:numPr>
              <w:jc w:val="center"/>
              <w:rPr>
                <w:rFonts w:hint="eastAsia"/>
                <w:b w:val="0"/>
                <w:bCs w:val="0"/>
                <w:sz w:val="22"/>
                <w:szCs w:val="28"/>
                <w:lang w:val="en-US" w:eastAsia="zh-CN"/>
              </w:rPr>
            </w:pPr>
          </w:p>
        </w:tc>
        <w:tc>
          <w:tcPr>
            <w:tcW w:w="8378" w:type="dxa"/>
          </w:tcPr>
          <w:p w14:paraId="462E31EC">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20" w:lineRule="exact"/>
              <w:ind w:left="0" w:leftChars="0" w:firstLine="0" w:firstLineChars="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三．知识拓展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1.人体所需七大营养素</w:t>
            </w:r>
          </w:p>
          <w:p w14:paraId="39D9C1CD">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20" w:lineRule="exact"/>
              <w:ind w:leftChars="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教师组织讨论营养素的作用并引导学生学习归类</w:t>
            </w:r>
          </w:p>
          <w:p w14:paraId="4E7E5522">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20" w:lineRule="exact"/>
              <w:ind w:leftChars="0"/>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2.健身操：“燃烧我的卡路里”</w:t>
            </w:r>
          </w:p>
        </w:tc>
      </w:tr>
      <w:tr w14:paraId="5EA4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02" w:type="dxa"/>
            <w:vAlign w:val="center"/>
          </w:tcPr>
          <w:p w14:paraId="559046CE">
            <w:pPr>
              <w:numPr>
                <w:ilvl w:val="0"/>
                <w:numId w:val="0"/>
              </w:numPr>
              <w:jc w:val="center"/>
              <w:rPr>
                <w:rFonts w:hint="default"/>
                <w:b w:val="0"/>
                <w:bCs w:val="0"/>
                <w:sz w:val="21"/>
                <w:szCs w:val="24"/>
                <w:lang w:val="en-US" w:eastAsia="zh-CN"/>
              </w:rPr>
            </w:pPr>
            <w:r>
              <w:rPr>
                <w:rFonts w:hint="eastAsia"/>
                <w:b w:val="0"/>
                <w:bCs w:val="0"/>
                <w:sz w:val="21"/>
                <w:szCs w:val="24"/>
                <w:lang w:val="en-US" w:eastAsia="zh-CN"/>
              </w:rPr>
              <w:t>课后作业</w:t>
            </w:r>
          </w:p>
        </w:tc>
        <w:tc>
          <w:tcPr>
            <w:tcW w:w="8378" w:type="dxa"/>
          </w:tcPr>
          <w:p w14:paraId="48A906BA">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20" w:lineRule="exact"/>
              <w:ind w:leftChars="0"/>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1.为家庭制作一份周末膳食计划；2.为家人计算BMI值并判断其体重是否健康；</w:t>
            </w:r>
          </w:p>
        </w:tc>
      </w:tr>
      <w:tr w14:paraId="126C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02" w:type="dxa"/>
            <w:vAlign w:val="center"/>
          </w:tcPr>
          <w:p w14:paraId="3B36F262">
            <w:pPr>
              <w:numPr>
                <w:ilvl w:val="0"/>
                <w:numId w:val="0"/>
              </w:numPr>
              <w:jc w:val="center"/>
              <w:rPr>
                <w:rFonts w:hint="eastAsia"/>
                <w:b w:val="0"/>
                <w:bCs w:val="0"/>
                <w:sz w:val="21"/>
                <w:szCs w:val="24"/>
                <w:lang w:val="en-US" w:eastAsia="zh-CN"/>
              </w:rPr>
            </w:pPr>
            <w:r>
              <w:rPr>
                <w:rFonts w:hint="eastAsia"/>
                <w:b w:val="0"/>
                <w:bCs w:val="0"/>
                <w:sz w:val="21"/>
                <w:szCs w:val="24"/>
                <w:lang w:val="en-US" w:eastAsia="zh-CN"/>
              </w:rPr>
              <w:t>课后总结</w:t>
            </w:r>
          </w:p>
        </w:tc>
        <w:tc>
          <w:tcPr>
            <w:tcW w:w="8378" w:type="dxa"/>
          </w:tcPr>
          <w:p w14:paraId="61F9E950">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20" w:lineRule="exact"/>
              <w:ind w:leftChars="0"/>
              <w:jc w:val="left"/>
              <w:textAlignment w:val="center"/>
              <w:rPr>
                <w:rFonts w:hint="eastAsia" w:ascii="宋体" w:hAnsi="宋体" w:eastAsia="宋体" w:cs="宋体"/>
                <w:i w:val="0"/>
                <w:iCs w:val="0"/>
                <w:color w:val="auto"/>
                <w:kern w:val="0"/>
                <w:sz w:val="24"/>
                <w:szCs w:val="24"/>
                <w:u w:val="none"/>
                <w:lang w:val="en-US" w:eastAsia="zh-CN" w:bidi="ar"/>
              </w:rPr>
            </w:pPr>
          </w:p>
        </w:tc>
      </w:tr>
    </w:tbl>
    <w:p w14:paraId="086DC36E">
      <w:pPr>
        <w:numPr>
          <w:ilvl w:val="0"/>
          <w:numId w:val="0"/>
        </w:numPr>
        <w:jc w:val="both"/>
        <w:rPr>
          <w:rFonts w:hint="default"/>
          <w:b/>
          <w:bCs/>
          <w:sz w:val="28"/>
          <w:szCs w:val="36"/>
          <w:lang w:val="en-US" w:eastAsia="zh-CN"/>
        </w:rPr>
      </w:pPr>
    </w:p>
    <w:sectPr>
      <w:pgSz w:w="11906" w:h="16838"/>
      <w:pgMar w:top="1043" w:right="1406" w:bottom="986"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0168E"/>
    <w:multiLevelType w:val="singleLevel"/>
    <w:tmpl w:val="8850168E"/>
    <w:lvl w:ilvl="0" w:tentative="0">
      <w:start w:val="2"/>
      <w:numFmt w:val="decimal"/>
      <w:lvlText w:val="%1."/>
      <w:lvlJc w:val="left"/>
      <w:pPr>
        <w:tabs>
          <w:tab w:val="left" w:pos="312"/>
        </w:tabs>
      </w:pPr>
    </w:lvl>
  </w:abstractNum>
  <w:abstractNum w:abstractNumId="1">
    <w:nsid w:val="BEC1DC55"/>
    <w:multiLevelType w:val="singleLevel"/>
    <w:tmpl w:val="BEC1DC55"/>
    <w:lvl w:ilvl="0" w:tentative="0">
      <w:start w:val="1"/>
      <w:numFmt w:val="decimal"/>
      <w:suff w:val="nothing"/>
      <w:lvlText w:val="（%1）"/>
      <w:lvlJc w:val="left"/>
    </w:lvl>
  </w:abstractNum>
  <w:abstractNum w:abstractNumId="2">
    <w:nsid w:val="E7842BC3"/>
    <w:multiLevelType w:val="singleLevel"/>
    <w:tmpl w:val="E7842BC3"/>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NjAzMWJlZjFkMmQwODUwMTJkYzE2ODFiYmFmYTcifQ=="/>
  </w:docVars>
  <w:rsids>
    <w:rsidRoot w:val="7ED54DC2"/>
    <w:rsid w:val="07114C64"/>
    <w:rsid w:val="0A7B04A7"/>
    <w:rsid w:val="0C856459"/>
    <w:rsid w:val="0D5C3267"/>
    <w:rsid w:val="0FAC4C5F"/>
    <w:rsid w:val="120B3EDD"/>
    <w:rsid w:val="16A36DBB"/>
    <w:rsid w:val="175C51BC"/>
    <w:rsid w:val="17936B69"/>
    <w:rsid w:val="18E86D07"/>
    <w:rsid w:val="197113F3"/>
    <w:rsid w:val="1F3C1B5B"/>
    <w:rsid w:val="24721561"/>
    <w:rsid w:val="28686611"/>
    <w:rsid w:val="2C4C53A8"/>
    <w:rsid w:val="2CAB0320"/>
    <w:rsid w:val="2FA07EE4"/>
    <w:rsid w:val="337E053C"/>
    <w:rsid w:val="34F12F90"/>
    <w:rsid w:val="35383E79"/>
    <w:rsid w:val="35BC17F0"/>
    <w:rsid w:val="36FB1EA4"/>
    <w:rsid w:val="3B24129C"/>
    <w:rsid w:val="3B2A0FAA"/>
    <w:rsid w:val="4C1E2465"/>
    <w:rsid w:val="54AB7FF4"/>
    <w:rsid w:val="56DA2E12"/>
    <w:rsid w:val="5AD703AE"/>
    <w:rsid w:val="5E761C8C"/>
    <w:rsid w:val="5F351B48"/>
    <w:rsid w:val="5FE01AB3"/>
    <w:rsid w:val="61C3343B"/>
    <w:rsid w:val="63B042DE"/>
    <w:rsid w:val="65DA57ED"/>
    <w:rsid w:val="660D2ED6"/>
    <w:rsid w:val="6A9736B6"/>
    <w:rsid w:val="6CDE737B"/>
    <w:rsid w:val="6EBA0734"/>
    <w:rsid w:val="6F834209"/>
    <w:rsid w:val="6FCE4D63"/>
    <w:rsid w:val="751C3136"/>
    <w:rsid w:val="7956298E"/>
    <w:rsid w:val="7B9D48A5"/>
    <w:rsid w:val="7D9A522F"/>
    <w:rsid w:val="7DCC49B3"/>
    <w:rsid w:val="7ED5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7431</Words>
  <Characters>7762</Characters>
  <Lines>0</Lines>
  <Paragraphs>0</Paragraphs>
  <TotalTime>25</TotalTime>
  <ScaleCrop>false</ScaleCrop>
  <LinksUpToDate>false</LinksUpToDate>
  <CharactersWithSpaces>7799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2024-11-12T14:21:00Z</dcterms:created>
  <dc:creator>大大宇</dc:creator>
  <cp:lastModifiedBy>大大宇</cp:lastModifiedBy>
  <dcterms:modified xsi:type="dcterms:W3CDTF">2024-11-19T05:00:10Z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4D5E408F2CB642C4A13F64C0A1BA5AB7_13</vt:lpwstr>
  </property>
</Properties>
</file>