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06EA" w14:textId="701C8265" w:rsidR="00256AC1" w:rsidRDefault="002810C1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              </w:t>
      </w:r>
      <w:r w:rsidR="00220D9B">
        <w:rPr>
          <w:rFonts w:ascii="黑体" w:eastAsia="黑体" w:hAnsi="黑体" w:cs="黑体" w:hint="eastAsia"/>
          <w:b/>
          <w:bCs/>
          <w:sz w:val="32"/>
          <w:szCs w:val="40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月理论学习（郭鸿星）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56AC1" w14:paraId="28EFAD5B" w14:textId="77777777">
        <w:tc>
          <w:tcPr>
            <w:tcW w:w="1899" w:type="dxa"/>
            <w:vAlign w:val="center"/>
          </w:tcPr>
          <w:p w14:paraId="1ADE30AD" w14:textId="77777777" w:rsidR="00256AC1" w:rsidRDefault="002810C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58FE2574" w14:textId="56985956" w:rsidR="00256AC1" w:rsidRPr="00220D9B" w:rsidRDefault="00220D9B" w:rsidP="00220D9B">
            <w:pPr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1723A0">
              <w:rPr>
                <w:rFonts w:ascii="宋体" w:eastAsia="宋体" w:hAnsi="宋体"/>
                <w:sz w:val="28"/>
                <w:szCs w:val="28"/>
              </w:rPr>
              <w:t>具身认知</w:t>
            </w:r>
            <w:proofErr w:type="gramEnd"/>
            <w:r w:rsidRPr="001723A0">
              <w:rPr>
                <w:rFonts w:ascii="宋体" w:eastAsia="宋体" w:hAnsi="宋体"/>
                <w:sz w:val="28"/>
                <w:szCs w:val="28"/>
              </w:rPr>
              <w:t>视角下小学数学实验教学的实施路径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（周国栋）</w:t>
            </w:r>
          </w:p>
        </w:tc>
      </w:tr>
      <w:tr w:rsidR="00256AC1" w14:paraId="1E91E918" w14:textId="77777777">
        <w:tc>
          <w:tcPr>
            <w:tcW w:w="1899" w:type="dxa"/>
            <w:vAlign w:val="center"/>
          </w:tcPr>
          <w:p w14:paraId="0DDA4A36" w14:textId="77777777" w:rsidR="00256AC1" w:rsidRDefault="002810C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599AEEA6" w14:textId="77777777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 xml:space="preserve">小学数学实验教学的策略 </w:t>
            </w:r>
          </w:p>
          <w:p w14:paraId="27C23DA2" w14:textId="222D004A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>(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一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 xml:space="preserve">)制订快乐学习目标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723A0">
              <w:rPr>
                <w:rFonts w:ascii="宋体" w:eastAsia="宋体" w:hAnsi="宋体"/>
                <w:sz w:val="24"/>
              </w:rPr>
              <w:t xml:space="preserve">在进行小学数学实验的教学方案设计时,教师应制订快乐、愉快的学习目标。教师和学生在进行数学实验课程学习时,身体能够充分参与其中,进而 完成学习。教师在进行课程设计时,可以依据教学大纲,进行教学目标和教学内容的设计。教学目标要结合学生的特点及认知情况进行动态调整,从而 帮助学生实现身体与环境的交互,进而帮助学生在 此过程中充分理解和掌握所学知识点。 </w:t>
            </w:r>
          </w:p>
          <w:p w14:paraId="61C335D5" w14:textId="78EFCA33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>(二)构建快乐教学环境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在具身认知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 xml:space="preserve">的视角下,学生的学习过程是一项包括认知、身体与环境的整体性活动。通过建立游戏场景和相关的游戏规则制度,有助于提高教师教 学过程的趣味性。在小学数学实验课程的授课过程中,教师可以依据数学教材策划游戏内容,编制相关的数学游戏。通过游戏教学的方式来构建快乐教学环境,进而提升学生对于小学数学实验教学的学习主动性与积极性。 </w:t>
            </w:r>
          </w:p>
          <w:p w14:paraId="18F51F3F" w14:textId="01E74258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>1.构建轻松的游戏环境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在具身认知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视角下,身体是认知过程中的基础与核心,具有十分重要的作用。当学生的身体处于轻松愉悦的环境中时,身体能够为学生学习和掌握新知识起到枢纽的作用,而游戏的环境就能让学生感到轻松愉悦。因此,教师可以在课程设计时选择游戏化教学方式,以教学大纲中的教学内容为基础, 构建轻松的游戏环境,这种学习环境更有助于学生进行数学知识的学习。在多边形面积这个知识点讲解过程中,传统课堂上的按部就班很难让学生自主学习,教师可以借助工具让学生进行知识点的研究, 利用七巧板让学生自己拼凑图形,并计算图形的面积,鼓励学生自己动手并发散思维,在实践的过程中 掌握知识点,丰富自己的认知储备,为以后的探索打下坚实的基础。</w:t>
            </w:r>
          </w:p>
          <w:p w14:paraId="04F53388" w14:textId="21061884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 xml:space="preserve"> 2.利用多媒体完成游戏规则的展示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723A0">
              <w:rPr>
                <w:rFonts w:ascii="宋体" w:eastAsia="宋体" w:hAnsi="宋体"/>
                <w:sz w:val="24"/>
              </w:rPr>
              <w:t>在小学数学实验教学的过程中,游戏的规则是教师进行快乐教学的核心内容,直接决定快乐教学能否成功。教师在编制游戏规则时,应该以课程内容为基础,最大限度地利用多媒体来进行游戏规则的展示。在展示过程中,教师可以让学生针对游戏规则进行自主研究与讨论,通过这种方式让学生感受到身体与周围环境的互动,使学习和游戏的过程相互融合。</w:t>
            </w:r>
          </w:p>
          <w:p w14:paraId="0EBC78D3" w14:textId="0A455622" w:rsid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 xml:space="preserve"> (三)更新游戏化教学的内容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1723A0">
              <w:rPr>
                <w:rFonts w:ascii="宋体" w:eastAsia="宋体" w:hAnsi="宋体"/>
                <w:sz w:val="24"/>
              </w:rPr>
              <w:t>在小学数学实验的学习过程中,学生在游戏的同时进行学习,在直观的实验环境中理解和掌握数 学的基本原理与概念,将抽象的概念转换为直观的 概念,将训练式学习转换为探究式学习。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在具身认知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视角下,</w:t>
            </w:r>
            <w:r w:rsidRPr="001723A0">
              <w:rPr>
                <w:rFonts w:ascii="宋体" w:eastAsia="宋体" w:hAnsi="宋体"/>
                <w:sz w:val="24"/>
              </w:rPr>
              <w:lastRenderedPageBreak/>
              <w:t xml:space="preserve">教师通过游戏化教学的方式来提高学生的运动能力,不断完善学生的心智。学生的实验经 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验是孤立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 xml:space="preserve">的、零散的,所以教师要以数学思想为统领,关注学生身体和经验交互的密切联系,完善认知 结构,借助结构联想、方法感悟,建构数学模型,在活 动的同时,带领学生经历身体、认知、情绪、语言、记 忆的整合过程,实现思维的结构化。 </w:t>
            </w:r>
          </w:p>
          <w:p w14:paraId="06D46E23" w14:textId="4322747C" w:rsidR="00256AC1" w:rsidRP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1723A0">
              <w:rPr>
                <w:rFonts w:ascii="宋体" w:eastAsia="宋体" w:hAnsi="宋体"/>
                <w:sz w:val="24"/>
              </w:rPr>
              <w:t>(四)增加游戏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具身操作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内容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 xml:space="preserve">视角下的游戏化教学实质为“玩中 学”,它能够让小学生在数学游戏中自主探索相关的 数学知识,并在此过程中培养数学思维。教师要充 分调动学生感官与肢体等进行观察、操作,以此发展 思维能力。例如,学习“三角形内角和”时,教师可以 让学生进行实践操作,试着测量三角形的内角和,测 量和计算后,学生会直观地发现内角和是180°。教 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师让学生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拿出一张纸,在纸上画出一个三角形,然后 分别撕下三个角,将它们组合起来,组合起来后学生 会发现这三个角正好可以组成一个平角。经过这样 的动手实践过程,学生可以更加直观地得出“三角形 内角和为180°”这一结论,为今后学习多边形的内角积累操作经验。</w:t>
            </w:r>
          </w:p>
        </w:tc>
      </w:tr>
      <w:tr w:rsidR="00256AC1" w14:paraId="23AE8636" w14:textId="77777777">
        <w:tc>
          <w:tcPr>
            <w:tcW w:w="1899" w:type="dxa"/>
            <w:vAlign w:val="center"/>
          </w:tcPr>
          <w:p w14:paraId="5EA7EFEB" w14:textId="77777777" w:rsidR="00256AC1" w:rsidRDefault="002810C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61A8CC32" w14:textId="5DAECD83" w:rsidR="00256AC1" w:rsidRPr="00712C00" w:rsidRDefault="00712C00" w:rsidP="00712C00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1723A0">
              <w:rPr>
                <w:rFonts w:ascii="宋体" w:eastAsia="宋体" w:hAnsi="宋体"/>
                <w:sz w:val="24"/>
              </w:rPr>
              <w:t>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视角下的小学数学实验教学模式主要以学生的身体参与度为考查点,只有让小学生的身体参与课堂,才会真正地实现寓教于乐,让学生在课堂上体会到自主学习的快乐。在完成教师精心编制的课堂游戏过程中,让小学生通过肢体的表达以及身体与思想的交互,完全掌握本节课的教学内容,并在掌握的过程中通过自己的思考与发掘,发现更多教材中未提到的内容,引发其进一步思考。转变现有的教学模式,摒弃枯燥乏味的教学形式,让小学生在课堂游戏中获取知识、获得快乐、获得成长。</w:t>
            </w:r>
            <w:proofErr w:type="gramStart"/>
            <w:r w:rsidRPr="001723A0">
              <w:rPr>
                <w:rFonts w:ascii="宋体" w:eastAsia="宋体" w:hAnsi="宋体"/>
                <w:sz w:val="24"/>
              </w:rPr>
              <w:t>通过具身认知</w:t>
            </w:r>
            <w:proofErr w:type="gramEnd"/>
            <w:r w:rsidRPr="001723A0">
              <w:rPr>
                <w:rFonts w:ascii="宋体" w:eastAsia="宋体" w:hAnsi="宋体"/>
                <w:sz w:val="24"/>
              </w:rPr>
              <w:t>视角下的实验教学模式,提升小学生的自主学习能力,更加全身心地投入小学数学学习中,不但能完成课堂任务,还有利于学生参与课题外的数学研究,为提升学生的感知力、思考力、创造力打下坚实的基础。</w:t>
            </w:r>
          </w:p>
        </w:tc>
      </w:tr>
    </w:tbl>
    <w:p w14:paraId="795F9C9B" w14:textId="428C5ED4" w:rsidR="00256AC1" w:rsidRDefault="00256AC1"/>
    <w:p w14:paraId="1E1ECF32" w14:textId="1EFF8563" w:rsidR="002810C1" w:rsidRDefault="002810C1"/>
    <w:p w14:paraId="4BACE0BC" w14:textId="423667DC" w:rsidR="002810C1" w:rsidRDefault="002810C1"/>
    <w:p w14:paraId="450E5AC7" w14:textId="77777777" w:rsidR="002810C1" w:rsidRDefault="002810C1"/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2"/>
  </w:num>
  <w:num w:numId="3" w16cid:durableId="1144588042">
    <w:abstractNumId w:val="3"/>
  </w:num>
  <w:num w:numId="4" w16cid:durableId="2039045026">
    <w:abstractNumId w:val="1"/>
  </w:num>
  <w:num w:numId="5" w16cid:durableId="40554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C65CB"/>
    <w:rsid w:val="00220D9B"/>
    <w:rsid w:val="00256AC1"/>
    <w:rsid w:val="002810C1"/>
    <w:rsid w:val="00302151"/>
    <w:rsid w:val="00335317"/>
    <w:rsid w:val="0036777D"/>
    <w:rsid w:val="00557ED6"/>
    <w:rsid w:val="005C6020"/>
    <w:rsid w:val="0063064F"/>
    <w:rsid w:val="00712C00"/>
    <w:rsid w:val="007554FA"/>
    <w:rsid w:val="00784C4C"/>
    <w:rsid w:val="007B5AA0"/>
    <w:rsid w:val="007C1B3F"/>
    <w:rsid w:val="009A1D2F"/>
    <w:rsid w:val="00A14920"/>
    <w:rsid w:val="00A77F16"/>
    <w:rsid w:val="00AC5DE8"/>
    <w:rsid w:val="00B47735"/>
    <w:rsid w:val="00BB24EA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9A1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8</cp:revision>
  <dcterms:created xsi:type="dcterms:W3CDTF">2022-06-28T00:47:00Z</dcterms:created>
  <dcterms:modified xsi:type="dcterms:W3CDTF">2024-11-18T12:12:00Z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