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</w:t>
            </w:r>
            <w:r>
              <w:rPr>
                <w:rFonts w:hint="eastAsia" w:ascii="宋体" w:hAnsi="宋体"/>
                <w:color w:val="auto"/>
                <w:szCs w:val="21"/>
              </w:rPr>
              <w:t>“为什么潜水艇可以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沉</w:t>
            </w:r>
            <w:r>
              <w:rPr>
                <w:rFonts w:hint="eastAsia" w:ascii="宋体" w:hAnsi="宋体"/>
                <w:color w:val="auto"/>
                <w:szCs w:val="21"/>
              </w:rPr>
              <w:t>到水下去？”“为什么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电梯可以把人运送到高处</w:t>
            </w:r>
            <w:r>
              <w:rPr>
                <w:rFonts w:hint="eastAsia" w:ascii="宋体" w:hAnsi="宋体"/>
                <w:color w:val="auto"/>
                <w:szCs w:val="21"/>
              </w:rPr>
              <w:t>？”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为什么飞机可以飞在空中”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25个幼儿知道“力”无处不在，拿东西要用力，走路要用力，做运动要用力等；10人知道秋天的落叶从树上飘落下来是因为重力；15人发现上楼梯比下楼梯费力；12人发现皮球拍到地上会被弹起来；8人知道生活中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有重力、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浮力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弹力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读写区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：《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了不起的滑轮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哐，有趣的重力》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锡纸、泡沫、镭射纸、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科探区提供滑轮、齿轮制作塔吊；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运动场大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立方建高楼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等游戏。</w:t>
            </w:r>
          </w:p>
        </w:tc>
      </w:tr>
      <w:tr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建构技巧的运用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亿童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创意中心、阿基米德搭建小球轨道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了不起的滑轮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哐，有趣的重力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谁是卧底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运动场大测量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立方建高楼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四子棋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空间站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嘀嗒嘀嗒转起来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瓶子叠叠乐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神奇的力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齿轮的秘密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拉动滑轮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为金鱼换水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吊单杠；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是谁在拉我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7D29B9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  <w:rsid w:val="FFFFA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13</TotalTime>
  <ScaleCrop>false</ScaleCrop>
  <LinksUpToDate>false</LinksUpToDate>
  <CharactersWithSpaces>1428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讨厌</cp:lastModifiedBy>
  <dcterms:modified xsi:type="dcterms:W3CDTF">2024-11-17T20:09:27Z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1D876F0CC3F91845F7DC39679C2A283E_43</vt:lpwstr>
  </property>
</Properties>
</file>