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FFE2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027D8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C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BE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79C8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7549FA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80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cs="宋体"/>
                <w:lang w:val="en-US" w:eastAsia="zh-CN"/>
              </w:rPr>
              <w:t>多种手段</w:t>
            </w:r>
            <w:r>
              <w:rPr>
                <w:rFonts w:hint="eastAsia" w:ascii="宋体" w:hAnsi="宋体"/>
                <w:szCs w:val="21"/>
              </w:rPr>
              <w:t>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了解常见水果果核的外形特征和用途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写生</w:t>
            </w:r>
            <w:r>
              <w:rPr>
                <w:rFonts w:hint="eastAsia"/>
              </w:rPr>
              <w:t>手法表现水果特征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/>
                <w:color w:val="000000"/>
                <w:szCs w:val="21"/>
              </w:rPr>
              <w:t>活动，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一起走进秋天，使其</w:t>
            </w:r>
            <w:r>
              <w:rPr>
                <w:rFonts w:hint="eastAsia"/>
                <w:color w:val="000000"/>
                <w:szCs w:val="21"/>
              </w:rPr>
              <w:t>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不仅是个果实累累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还是个能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9AD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大班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正处于幼小衔接的关键阶段，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探究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兴趣和能力的培养至关重要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在谈话中了解：72%的幼儿有去过博物馆的经验，89%的幼儿去过星星充电公园，67%的幼儿想要知道身边的发明创造。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因此追随孩子的脚步，</w:t>
            </w: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结合大班幼儿的年龄特点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，本周我们将引导幼儿通过调查、参观等活动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初步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了解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“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常州高新区创新展示中心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”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感受高新区科技创新的力量，萌发幼儿爱家乡的情怀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5D2B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29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67273ECF"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通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过小组、集体、亲子等活动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初步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了解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常州高新区创新展示中心，感受科技创新的力量，萌发幼儿爱家乡的情怀</w:t>
            </w:r>
            <w:r>
              <w:rPr>
                <w:rFonts w:hint="eastAsia" w:ascii="宋体" w:hAnsi="宋体"/>
              </w:rPr>
              <w:t>。</w:t>
            </w:r>
          </w:p>
          <w:p w14:paraId="7F73312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能有计划地安排远足活动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养成</w:t>
            </w:r>
            <w:r>
              <w:rPr>
                <w:rFonts w:hint="eastAsia" w:ascii="宋体" w:hAnsi="宋体"/>
                <w:color w:val="000000"/>
                <w:szCs w:val="21"/>
              </w:rPr>
              <w:t>同伴合作、坚持到底的</w:t>
            </w:r>
            <w:r>
              <w:rPr>
                <w:rFonts w:hint="eastAsia" w:ascii="宋体" w:hAnsi="宋体"/>
              </w:rPr>
              <w:t>良好品质。</w:t>
            </w:r>
          </w:p>
        </w:tc>
      </w:tr>
      <w:tr w14:paraId="5CB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建构区提供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展示中心</w:t>
            </w:r>
            <w:r>
              <w:rPr>
                <w:rFonts w:hint="eastAsia" w:ascii="宋体" w:hAnsi="宋体"/>
                <w:szCs w:val="21"/>
              </w:rPr>
              <w:t>支架照片，鼓励幼儿进行建构；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机器人、太阳能板等环境游戏</w:t>
            </w:r>
            <w:r>
              <w:rPr>
                <w:rFonts w:hint="eastAsia" w:ascii="宋体" w:hAnsi="宋体"/>
                <w:szCs w:val="21"/>
              </w:rPr>
              <w:t>，引导幼儿根据规则正确图书；图书区增添绘本</w:t>
            </w: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揭秘地球</w:t>
            </w:r>
            <w:r>
              <w:rPr>
                <w:rFonts w:hint="eastAsia" w:asciiTheme="minorEastAsia" w:hAnsiTheme="minorEastAsia"/>
                <w:szCs w:val="21"/>
              </w:rPr>
              <w:t>》、《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机器人弗兰奇</w:t>
            </w:r>
            <w:r>
              <w:rPr>
                <w:rFonts w:hint="eastAsia" w:asciiTheme="minorEastAsia" w:hAnsiTheme="minorEastAsia"/>
                <w:szCs w:val="21"/>
              </w:rPr>
              <w:t>》、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《</w:t>
            </w:r>
            <w:r>
              <w:rPr>
                <w:rStyle w:val="13"/>
                <w:rFonts w:hint="eastAsia" w:ascii="Arial" w:hAnsi="Arial" w:cs="Arial"/>
                <w:b w:val="0"/>
                <w:color w:val="191919"/>
                <w:shd w:val="clear" w:color="auto" w:fill="FFFFFF"/>
                <w:lang w:val="en-US" w:eastAsia="zh-CN"/>
              </w:rPr>
              <w:t>揭秘机械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等绘本供幼儿阅读并投放纸张供幼儿自制绘本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5D5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7BE9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，运动出汗后知道及时擦汗。</w:t>
            </w:r>
          </w:p>
          <w:p w14:paraId="652E0E8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 w14:paraId="072C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 w14:paraId="4A9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84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A7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A2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AB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29034E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eastAsia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蒋老师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区幼儿是否能有序拿取材料及游戏结束时的整理情况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eastAsia="zh-CN"/>
              </w:rPr>
              <w:t>以及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曹老师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关注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建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构区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幼儿能否根据计划进行建构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以及</w:t>
            </w:r>
            <w:bookmarkStart w:id="0" w:name="_GoBack"/>
            <w:bookmarkEnd w:id="0"/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幼儿的合作情况和建构技巧。</w:t>
            </w:r>
          </w:p>
          <w:p w14:paraId="6897330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建构区：地面建构《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科技馆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》；雪花片《我心中的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科技馆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》等；</w:t>
            </w:r>
          </w:p>
          <w:p w14:paraId="3E2A5BFF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图书区：绘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本《揭秘地球》、《机器人弗兰奇》、《揭秘机械》等；</w:t>
            </w:r>
          </w:p>
          <w:p w14:paraId="5F915F4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美工区：绘画《我知道的科技馆》、绘画：《创想科技馆》等；</w:t>
            </w:r>
          </w:p>
          <w:p w14:paraId="10B4F875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益智区：《太空对配》、《科技馆游戏》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、《去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科技馆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》等；</w:t>
            </w:r>
          </w:p>
          <w:p w14:paraId="5711E28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科技馆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；</w:t>
            </w:r>
          </w:p>
          <w:p w14:paraId="29D84CE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《科技馆》等。</w:t>
            </w:r>
          </w:p>
        </w:tc>
      </w:tr>
      <w:tr w14:paraId="3245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1E7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BD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 w14:paraId="433C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0C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FAA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57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E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我想了解</w:t>
            </w:r>
            <w:r>
              <w:rPr>
                <w:rFonts w:hint="eastAsia"/>
                <w:szCs w:val="21"/>
                <w:lang w:val="en-US" w:eastAsia="zh-CN"/>
              </w:rPr>
              <w:t>展示中心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  <w:lang w:val="en-US" w:eastAsia="zh-CN"/>
              </w:rPr>
              <w:t xml:space="preserve">      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社会：远足中的安全</w:t>
            </w:r>
          </w:p>
          <w:p w14:paraId="4E56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创新展示中心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绘画：我心中的科技馆</w:t>
            </w:r>
          </w:p>
          <w:p w14:paraId="5745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绘画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我心目中的图书馆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3D09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D4B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A650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2E31058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 w14:paraId="31406C1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 w14:paraId="097447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7CA6F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 w14:paraId="6ED298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蒋林晶、曹钰祺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67FE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2B76CE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723921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DE4969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353B7A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1126</Words>
  <Characters>1147</Characters>
  <Lines>10</Lines>
  <Paragraphs>2</Paragraphs>
  <TotalTime>3</TotalTime>
  <ScaleCrop>false</ScaleCrop>
  <LinksUpToDate>false</LinksUpToDate>
  <CharactersWithSpaces>1265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Nicole</cp:lastModifiedBy>
  <dcterms:modified xsi:type="dcterms:W3CDTF">2024-11-04T23:54:00Z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4E7605D67BB44260B8DB292CF8274A03_13</vt:lpwstr>
  </property>
</Properties>
</file>