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105"/>
        <w:gridCol w:w="2129"/>
        <w:gridCol w:w="2192"/>
        <w:gridCol w:w="2183"/>
        <w:gridCol w:w="2305"/>
      </w:tblGrid>
      <w:tr>
        <w:trPr>
          <w:trHeight w:val="472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2.修改小作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预习U5单词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1.复习16课（笔记本）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2.《绝句》《惠崇春江晚景》《三衢道中》《忆江南》抄1默1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1.抄写U5单词。2.背数字1-10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燕子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1-3自然段抄1默1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完成《补》第46、47页！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课课练Ｐ46-46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1.《燕子》2-4自然段抄1默1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2.继续复习第4单元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完成《练》第38、39页。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自默U1-2单词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1。《守株待兔》原文注释抄写1遍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2.复习第3单元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自默U3-4单词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86" w:hRule="atLeast"/>
          <w:jc w:val="center"/>
        </w:trPr>
        <w:tc>
          <w:tcPr>
            <w:tcW w:w="114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4EFF3C74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7738EA"/>
    <w:rsid w:val="D7FF484D"/>
    <w:rsid w:val="EF1D94E7"/>
    <w:rsid w:val="EFFF123C"/>
    <w:rsid w:val="FEE3C0FC"/>
    <w:rsid w:val="FFE7C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2024-05-06T12:16:03Z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318D0ABE21244BD6BB7167750EACAF83_13</vt:lpwstr>
  </property>
</Properties>
</file>