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聚力资源的开发与利用，促研究力的发展</w:t>
      </w:r>
    </w:p>
    <w:p w14:paraId="73E1E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——徐志国卓越教师成长营2024-2025年度第一学期工作计划</w:t>
      </w:r>
    </w:p>
    <w:p w14:paraId="1712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徐志国 恽丽华（执笔）黄丽 林洁</w:t>
      </w:r>
    </w:p>
    <w:p w14:paraId="5D36D1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指导思想</w:t>
      </w:r>
    </w:p>
    <w:p w14:paraId="6FB33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卓越教师成长营是优秀教师的培育基地，旨在推进区教师队伍建设，提升教师的专业能力和水平。在前期一年的共生共长的道路上，发现成员们要者上、能者上的内驱力已经初具；有“发现问题-解决问题-实践验证”的研究力，但研究的意识和力量还不够足，因此，本学年度我们将以小组研究为重心，着力培养老师们的研究意识，并在研究中梳理研究的方法和路径。</w:t>
      </w:r>
    </w:p>
    <w:p w14:paraId="6C449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成长营培养人的目标；以儿童为中心、支持儿童、理解儿童、善用、会用资源是教师能力水平培养的目标。</w:t>
      </w:r>
    </w:p>
    <w:p w14:paraId="3F253E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学年培养目标</w:t>
      </w:r>
    </w:p>
    <w:p w14:paraId="4ABE1D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在同伴共学中明晰个人专业发展的目标与方向，对内自省、对外互学，提升个人专业能力；</w:t>
      </w:r>
    </w:p>
    <w:p w14:paraId="0860D0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在小组中共学共研，梳理研究的方法与经验，让每位成员有所得；</w:t>
      </w:r>
    </w:p>
    <w:p w14:paraId="06DB00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在观现场、研真问题的教研场，共研游戏资源建设的路径与经验；</w:t>
      </w:r>
    </w:p>
    <w:p w14:paraId="56C627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在经验交流、小组交流中善于梳理汇总，共促成员的能力发展。</w:t>
      </w:r>
    </w:p>
    <w:p w14:paraId="628982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具体举措</w:t>
      </w:r>
    </w:p>
    <w:p w14:paraId="143ADE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成长经验分享，共学同伴成功经验</w:t>
      </w:r>
    </w:p>
    <w:p w14:paraId="6F73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用成员成长经历分享的方式，梳理个人成长过程、成功经验等；在学习他人的同时重新认识自己，思考：我应该做什么？我当下有什么？我目前能做什么？我最惧怕什么？借同伴思自己，内省反思个人成长的经历，共生共长，互促生长，促进成员们的发展。</w:t>
      </w:r>
    </w:p>
    <w:p w14:paraId="3564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预期成效：</w:t>
      </w:r>
      <w:r>
        <w:rPr>
          <w:rFonts w:hint="eastAsia" w:ascii="宋体" w:hAnsi="宋体" w:eastAsia="宋体" w:cs="宋体"/>
          <w:lang w:val="en-US" w:eastAsia="zh-CN"/>
        </w:rPr>
        <w:t>1.看见同伴</w:t>
      </w:r>
      <w:r>
        <w:rPr>
          <w:rFonts w:hint="eastAsia"/>
          <w:lang w:val="en-US" w:eastAsia="zh-CN"/>
        </w:rPr>
        <w:t>的力量，在听取他人成长经历下有所得。</w:t>
      </w:r>
    </w:p>
    <w:p w14:paraId="7A3D45B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坚持阅读，丰实内涵</w:t>
      </w:r>
    </w:p>
    <w:p w14:paraId="1DA70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共同阅读《教儿童学会思考》，养成每天阅读、自主思考的习惯。每人做一次“领读人”，一领方向，熟悉该章节的基本结构，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制定2-3个核心话题</w:t>
      </w:r>
      <w:r>
        <w:rPr>
          <w:rFonts w:hint="eastAsia"/>
          <w:lang w:val="en-US" w:eastAsia="zh-CN"/>
        </w:rPr>
        <w:t>，引导成员带着任务有目的地展开阅读；二领过程，掌握成员的阅读进度，定期开展对话交流、教研分享；三领成效，梳理阅读成果、理论经验、实践做法，形成文本，便于成员间、区域幼儿园间的共享。</w:t>
      </w:r>
    </w:p>
    <w:p w14:paraId="03F3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具体组织操作上，每月的章节领读秉持“三个一”工程:第一周，发本章节的脉络结构；第二周，围绕章节内容提供三个核心问题，引领大家目的性细读；第三周，走进研讨对话现场，就章节中自己研读的智慧和实践的经验，困惑展开对话。（附：</w:t>
      </w:r>
      <w:r>
        <w:rPr>
          <w:rFonts w:hint="eastAsia"/>
          <w:lang w:val="en-US" w:eastAsia="zh-Hans"/>
        </w:rPr>
        <w:t>《</w:t>
      </w:r>
      <w:r>
        <w:rPr>
          <w:rFonts w:hint="eastAsia"/>
          <w:lang w:val="en-US" w:eastAsia="zh-CN"/>
        </w:rPr>
        <w:t>教儿童学会思考</w:t>
      </w:r>
      <w:r>
        <w:rPr>
          <w:rFonts w:hint="eastAsia"/>
          <w:lang w:val="en-US" w:eastAsia="zh-Hans"/>
        </w:rPr>
        <w:t>》领读安排表</w:t>
      </w:r>
      <w:r>
        <w:rPr>
          <w:rFonts w:hint="eastAsia"/>
          <w:lang w:val="en-US" w:eastAsia="zh-CN"/>
        </w:rPr>
        <w:t>）</w:t>
      </w:r>
    </w:p>
    <w:p w14:paraId="74DE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预期成效：</w:t>
      </w:r>
      <w:r>
        <w:rPr>
          <w:rFonts w:hint="eastAsia" w:ascii="宋体" w:hAnsi="宋体" w:eastAsia="宋体" w:cs="宋体"/>
          <w:lang w:val="en-US" w:eastAsia="zh-CN"/>
        </w:rPr>
        <w:t>1.每月阅读经验交流——公众号呈现</w:t>
      </w:r>
    </w:p>
    <w:p w14:paraId="13E2F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70" w:firstLineChars="7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2.每人积累1个与幼儿共同思考的小故事</w:t>
      </w:r>
    </w:p>
    <w:p w14:paraId="28163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70" w:firstLineChars="7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3.每个章节读书笔记汇总</w:t>
      </w:r>
    </w:p>
    <w:p w14:paraId="15B9EB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/>
          <w:b/>
          <w:bCs/>
          <w:i w:val="0"/>
          <w:iCs w:val="0"/>
          <w:lang w:val="en-US" w:eastAsia="zh-CN"/>
        </w:rPr>
      </w:pPr>
      <w:r>
        <w:rPr>
          <w:rFonts w:hint="eastAsia"/>
          <w:b/>
          <w:bCs/>
          <w:i w:val="0"/>
          <w:iCs w:val="0"/>
          <w:lang w:val="en-US" w:eastAsia="zh-CN"/>
        </w:rPr>
        <w:t>小组研究，案例共享</w:t>
      </w:r>
    </w:p>
    <w:p w14:paraId="03899E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期，将优化三个研究小组的组长，重新规划研究的思路与方向。每个研究小组明晰研究的重点与内容，在每月案例分享时，要聚焦资源的捕捉，有效利用经验的有效性。形成“资源梳理--盘点利用--将资源转化为多元活动--通过活动将资源转变为幼儿的经验”的研究及案例梳理的经验。</w:t>
      </w:r>
    </w:p>
    <w:p w14:paraId="3AFFDE0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表1：小组研究重点梳理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860"/>
        <w:gridCol w:w="5729"/>
      </w:tblGrid>
      <w:tr w14:paraId="0B55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6AE87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860" w:type="dxa"/>
            <w:vAlign w:val="center"/>
          </w:tcPr>
          <w:p w14:paraId="1A773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小组名称</w:t>
            </w:r>
          </w:p>
        </w:tc>
        <w:tc>
          <w:tcPr>
            <w:tcW w:w="5729" w:type="dxa"/>
            <w:vAlign w:val="center"/>
          </w:tcPr>
          <w:p w14:paraId="386FF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研究重点</w:t>
            </w:r>
          </w:p>
        </w:tc>
      </w:tr>
      <w:tr w14:paraId="7ABB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49D73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  <w:vAlign w:val="center"/>
          </w:tcPr>
          <w:p w14:paraId="747D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资源与户外游戏研究核心小组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（吴海燕、朱琳）</w:t>
            </w:r>
          </w:p>
        </w:tc>
        <w:tc>
          <w:tcPr>
            <w:tcW w:w="5729" w:type="dxa"/>
            <w:vAlign w:val="center"/>
          </w:tcPr>
          <w:p w14:paraId="30CE2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1.户外区域的盘活</w:t>
            </w:r>
          </w:p>
          <w:p w14:paraId="289AE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2.先确保运动能力的满足，并以运动能力为研究重点；</w:t>
            </w:r>
          </w:p>
          <w:p w14:paraId="3CA4D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3.研究同一场域下，基于不同年龄段或不同能力水平幼儿的环境、资源的设计</w:t>
            </w:r>
          </w:p>
        </w:tc>
      </w:tr>
      <w:tr w14:paraId="326D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267F3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860" w:type="dxa"/>
            <w:vAlign w:val="center"/>
          </w:tcPr>
          <w:p w14:paraId="78C6A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资源与数学游戏研究核心小组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（周丽佼、许惠莲）</w:t>
            </w:r>
          </w:p>
        </w:tc>
        <w:tc>
          <w:tcPr>
            <w:tcW w:w="5729" w:type="dxa"/>
            <w:vMerge w:val="restart"/>
            <w:vAlign w:val="center"/>
          </w:tcPr>
          <w:p w14:paraId="77A39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1.研究区域的核心经验是什么？</w:t>
            </w:r>
          </w:p>
          <w:p w14:paraId="59547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2.区域材料投放中层次性、递进性如何体现？（考虑到孩子的差异性）</w:t>
            </w:r>
          </w:p>
          <w:p w14:paraId="4E5E3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3.如何利用分享交流促进幼儿能力的发展？</w:t>
            </w:r>
          </w:p>
        </w:tc>
      </w:tr>
      <w:tr w14:paraId="0D54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5866D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860" w:type="dxa"/>
            <w:vAlign w:val="center"/>
          </w:tcPr>
          <w:p w14:paraId="107F6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资源与社会、语言游戏研究核心小组</w:t>
            </w:r>
            <w:r>
              <w:rPr>
                <w:rFonts w:hint="eastAsia"/>
                <w:b/>
                <w:bCs/>
                <w:lang w:val="en-US" w:eastAsia="zh-CN"/>
              </w:rPr>
              <w:t>（李伟林、肖欢）</w:t>
            </w:r>
          </w:p>
        </w:tc>
        <w:tc>
          <w:tcPr>
            <w:tcW w:w="5729" w:type="dxa"/>
            <w:vMerge w:val="continue"/>
          </w:tcPr>
          <w:p w14:paraId="25184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04CC8C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0" w:firstLineChars="0"/>
        <w:jc w:val="both"/>
        <w:textAlignment w:val="auto"/>
        <w:rPr>
          <w:rFonts w:hint="eastAsia" w:ascii="宋体" w:hAnsi="宋体" w:eastAsia="宋体" w:cs="宋体"/>
          <w:color w:val="0070C0"/>
          <w:lang w:val="en-US" w:eastAsia="zh-CN"/>
        </w:rPr>
      </w:pPr>
      <w:r>
        <w:rPr>
          <w:rFonts w:hint="eastAsia" w:ascii="宋体" w:hAnsi="宋体" w:eastAsia="宋体" w:cs="宋体"/>
          <w:color w:val="0070C0"/>
          <w:lang w:val="en-US" w:eastAsia="zh-CN"/>
        </w:rPr>
        <w:t>注：加粗字体的人员为该小组本学年的小组长。研究小组组长每一年一轮换，请各研究小组组长与上一届组长做好交接。</w:t>
      </w:r>
    </w:p>
    <w:p w14:paraId="58E76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研究机制:</w:t>
      </w:r>
    </w:p>
    <w:p w14:paraId="0D384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1.组长带领组员共同制定学期研究计划；（研究内容可在研究重点的基础上与课题融合）</w:t>
      </w:r>
    </w:p>
    <w:p w14:paraId="2F21D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2.每组每月必开展1次活动，且要有活动记录和经验分享；</w:t>
      </w:r>
    </w:p>
    <w:p w14:paraId="2D078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3.每月的案例分享需呈现当月研究点的实践现场，梳理游戏资源建设的路径与步骤，看研究经验的落地情况。</w:t>
      </w:r>
    </w:p>
    <w:p w14:paraId="0BD95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预期成效：</w:t>
      </w:r>
    </w:p>
    <w:p w14:paraId="7CBA0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1.每月小组均有案例1篇；</w:t>
      </w:r>
    </w:p>
    <w:p w14:paraId="79EB6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2.每月小组活动记录与经验分享1份；</w:t>
      </w:r>
    </w:p>
    <w:p w14:paraId="27CFD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3.形成课程资源建设研究案例集</w:t>
      </w:r>
    </w:p>
    <w:p w14:paraId="50B4C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（四）他山之石共学共长</w:t>
      </w:r>
    </w:p>
    <w:p w14:paraId="5861B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继续启动每月分享机制，每月分享共学与课程资源建设高相关的游戏、书籍、文章、推文、公众号，每月5日一分享，以供成员们互学、共长，并运用到日常实践中。</w:t>
      </w:r>
    </w:p>
    <w:p w14:paraId="047A3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预期成效：</w:t>
      </w:r>
    </w:p>
    <w:p w14:paraId="1387A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1.每月分享文章集</w:t>
      </w:r>
    </w:p>
    <w:p w14:paraId="30BF6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2.成员运用经验小故事（每月1个）</w:t>
      </w:r>
    </w:p>
    <w:p w14:paraId="6B9B3C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表2:2024-2025第一学期每月分享人员安排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08"/>
        <w:gridCol w:w="5819"/>
      </w:tblGrid>
      <w:tr w14:paraId="7304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 w14:paraId="2D395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月份</w:t>
            </w:r>
          </w:p>
        </w:tc>
        <w:tc>
          <w:tcPr>
            <w:tcW w:w="1508" w:type="dxa"/>
            <w:vAlign w:val="center"/>
          </w:tcPr>
          <w:p w14:paraId="24712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主分享人</w:t>
            </w:r>
          </w:p>
        </w:tc>
        <w:tc>
          <w:tcPr>
            <w:tcW w:w="5819" w:type="dxa"/>
            <w:vAlign w:val="center"/>
          </w:tcPr>
          <w:p w14:paraId="345D0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具体要求</w:t>
            </w:r>
          </w:p>
        </w:tc>
      </w:tr>
      <w:tr w14:paraId="30D9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auto"/>
            <w:vAlign w:val="center"/>
          </w:tcPr>
          <w:p w14:paraId="1DD46BF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10月</w:t>
            </w:r>
          </w:p>
        </w:tc>
        <w:tc>
          <w:tcPr>
            <w:tcW w:w="1508" w:type="dxa"/>
            <w:vAlign w:val="center"/>
          </w:tcPr>
          <w:p w14:paraId="74BB8B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恽丽华</w:t>
            </w:r>
          </w:p>
        </w:tc>
        <w:tc>
          <w:tcPr>
            <w:tcW w:w="5819" w:type="dxa"/>
            <w:vMerge w:val="restart"/>
            <w:vAlign w:val="center"/>
          </w:tcPr>
          <w:p w14:paraId="4A4D46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每月5日为分享日，请负责老师查找关于游戏、资源相关的书籍、文章、推文、公众号，每人不少于2条，发布在本群，以供成员们分享、学习。</w:t>
            </w:r>
          </w:p>
          <w:p w14:paraId="7BFB12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请许惠莲、吴海燕汇总老师们分享的相关文章和书籍，留存。</w:t>
            </w:r>
          </w:p>
        </w:tc>
      </w:tr>
      <w:tr w14:paraId="36BD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auto"/>
            <w:vAlign w:val="center"/>
          </w:tcPr>
          <w:p w14:paraId="27DDB7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11月</w:t>
            </w:r>
          </w:p>
        </w:tc>
        <w:tc>
          <w:tcPr>
            <w:tcW w:w="1508" w:type="dxa"/>
            <w:vAlign w:val="center"/>
          </w:tcPr>
          <w:p w14:paraId="0F76E4E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何洪秀</w:t>
            </w:r>
          </w:p>
        </w:tc>
        <w:tc>
          <w:tcPr>
            <w:tcW w:w="5819" w:type="dxa"/>
            <w:vMerge w:val="continue"/>
            <w:vAlign w:val="center"/>
          </w:tcPr>
          <w:p w14:paraId="6D358A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4FDF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auto"/>
            <w:vAlign w:val="center"/>
          </w:tcPr>
          <w:p w14:paraId="7ACC80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12月</w:t>
            </w:r>
          </w:p>
        </w:tc>
        <w:tc>
          <w:tcPr>
            <w:tcW w:w="1508" w:type="dxa"/>
            <w:vAlign w:val="center"/>
          </w:tcPr>
          <w:p w14:paraId="1F0506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陈蓓</w:t>
            </w:r>
          </w:p>
        </w:tc>
        <w:tc>
          <w:tcPr>
            <w:tcW w:w="5819" w:type="dxa"/>
            <w:vMerge w:val="continue"/>
            <w:vAlign w:val="center"/>
          </w:tcPr>
          <w:p w14:paraId="375B27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1E7A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auto"/>
            <w:vAlign w:val="center"/>
          </w:tcPr>
          <w:p w14:paraId="102D1A7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1月</w:t>
            </w:r>
          </w:p>
        </w:tc>
        <w:tc>
          <w:tcPr>
            <w:tcW w:w="1508" w:type="dxa"/>
            <w:vAlign w:val="center"/>
          </w:tcPr>
          <w:p w14:paraId="3D5D5C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李伟林</w:t>
            </w:r>
          </w:p>
        </w:tc>
        <w:tc>
          <w:tcPr>
            <w:tcW w:w="5819" w:type="dxa"/>
            <w:vMerge w:val="continue"/>
            <w:vAlign w:val="center"/>
          </w:tcPr>
          <w:p w14:paraId="5EAFD4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 w14:paraId="0AC4E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60703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71B5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（五）专题教研，有的放矢</w:t>
      </w:r>
    </w:p>
    <w:p w14:paraId="5A7C79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在基于园所游戏资源建设的问卷调查，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从教师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游戏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资源开发的角度来梳理现状面临的实际困难是什么</w:t>
      </w:r>
      <w:r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园所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游戏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资源机制建立存在的问题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开展了沙龙研讨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有针对性的开展专题沙龙</w:t>
      </w:r>
      <w:r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解决现实的问题</w:t>
      </w:r>
      <w:r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Hans" w:bidi="ar-SA"/>
        </w:rPr>
        <w:t>梳理实操的经验</w:t>
      </w: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。</w:t>
      </w:r>
    </w:p>
    <w:p w14:paraId="0453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预期成效：</w:t>
      </w:r>
    </w:p>
    <w:p w14:paraId="0EEDB17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1.集体活动设计资源库</w:t>
      </w:r>
    </w:p>
    <w:p w14:paraId="5F92A5B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2.区域游戏（不同领域）区域材料投放策略集</w:t>
      </w:r>
    </w:p>
    <w:p w14:paraId="3312F1A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3.游戏后分享交流经验梳理</w:t>
      </w:r>
    </w:p>
    <w:p w14:paraId="4196725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（六）本学期每月共研活动安排</w:t>
      </w:r>
    </w:p>
    <w:p w14:paraId="3F7AEB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表2:2024-2025第一学期每月共研活动安排（自主报名表）</w:t>
      </w:r>
    </w:p>
    <w:tbl>
      <w:tblPr>
        <w:tblStyle w:val="3"/>
        <w:tblW w:w="48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2247"/>
        <w:gridCol w:w="1299"/>
        <w:gridCol w:w="1262"/>
        <w:gridCol w:w="1438"/>
        <w:gridCol w:w="955"/>
        <w:gridCol w:w="969"/>
      </w:tblGrid>
      <w:tr w14:paraId="75A3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726D97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月份</w:t>
            </w:r>
          </w:p>
        </w:tc>
        <w:tc>
          <w:tcPr>
            <w:tcW w:w="1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1B66EF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现场观摩</w:t>
            </w:r>
          </w:p>
          <w:p w14:paraId="6D2C74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活动地点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639FB2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集体活动</w:t>
            </w:r>
          </w:p>
        </w:tc>
        <w:tc>
          <w:tcPr>
            <w:tcW w:w="7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2A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专题教研</w:t>
            </w:r>
          </w:p>
          <w:p w14:paraId="5A65BB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主持人</w:t>
            </w:r>
          </w:p>
        </w:tc>
        <w:tc>
          <w:tcPr>
            <w:tcW w:w="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7B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个人成长经历分享</w:t>
            </w:r>
          </w:p>
        </w:tc>
        <w:tc>
          <w:tcPr>
            <w:tcW w:w="5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C9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读书沙龙</w:t>
            </w:r>
          </w:p>
        </w:tc>
        <w:tc>
          <w:tcPr>
            <w:tcW w:w="5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ED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专题案例分享</w:t>
            </w:r>
          </w:p>
        </w:tc>
      </w:tr>
      <w:tr w14:paraId="66C9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649409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9月</w:t>
            </w:r>
          </w:p>
        </w:tc>
        <w:tc>
          <w:tcPr>
            <w:tcW w:w="1275" w:type="pc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77E41B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三井中心幼儿园</w:t>
            </w:r>
          </w:p>
          <w:p w14:paraId="03BCBA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刘红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62CDF5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周丽佼</w:t>
            </w:r>
          </w:p>
        </w:tc>
        <w:tc>
          <w:tcPr>
            <w:tcW w:w="716" w:type="pc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22BB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季叶洁</w:t>
            </w:r>
          </w:p>
        </w:tc>
        <w:tc>
          <w:tcPr>
            <w:tcW w:w="81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3B69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朱琳、</w:t>
            </w: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陈蓓</w:t>
            </w:r>
          </w:p>
        </w:tc>
        <w:tc>
          <w:tcPr>
            <w:tcW w:w="542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F5A6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549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C5B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林洁</w:t>
            </w:r>
          </w:p>
        </w:tc>
      </w:tr>
      <w:tr w14:paraId="2920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50A222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10月</w:t>
            </w:r>
          </w:p>
        </w:tc>
        <w:tc>
          <w:tcPr>
            <w:tcW w:w="127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723CE9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汤庄桥幼儿园</w:t>
            </w:r>
          </w:p>
          <w:p w14:paraId="12B4BE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黄丽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753268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肖欢</w:t>
            </w:r>
          </w:p>
        </w:tc>
        <w:tc>
          <w:tcPr>
            <w:tcW w:w="71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A9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许惠莲</w:t>
            </w:r>
          </w:p>
        </w:tc>
        <w:tc>
          <w:tcPr>
            <w:tcW w:w="81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5D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吴莉樱</w:t>
            </w: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吴海燕</w:t>
            </w:r>
          </w:p>
        </w:tc>
        <w:tc>
          <w:tcPr>
            <w:tcW w:w="5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96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周丽佼</w:t>
            </w:r>
          </w:p>
        </w:tc>
        <w:tc>
          <w:tcPr>
            <w:tcW w:w="54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F9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何洪秀</w:t>
            </w:r>
          </w:p>
        </w:tc>
      </w:tr>
      <w:tr w14:paraId="471F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F4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11月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29F8C4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龙虎塘街道中心幼儿园</w:t>
            </w:r>
          </w:p>
          <w:p w14:paraId="74A98F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肖欢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25B969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朱琳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080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吴莉樱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E0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周丽佼、季叶洁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3D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许惠莲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82CE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赵翠娇</w:t>
            </w:r>
          </w:p>
        </w:tc>
      </w:tr>
      <w:tr w14:paraId="3BEB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F3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12月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3E478B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新桥街道中心幼儿园（新龙湖）黄娜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3150FE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赵翠娇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CAB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陈蓓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69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肖欢、丁亚丽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4A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蒋侃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5F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徐惠芬</w:t>
            </w:r>
          </w:p>
        </w:tc>
      </w:tr>
      <w:tr w14:paraId="2E50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51C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1月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2CAFD9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春江中心幼儿园</w:t>
            </w:r>
          </w:p>
          <w:p w14:paraId="03A6C9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徐惠芬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50" w:type="dxa"/>
              <w:bottom w:w="38" w:type="dxa"/>
              <w:right w:w="50" w:type="dxa"/>
            </w:tcMar>
            <w:vAlign w:val="center"/>
          </w:tcPr>
          <w:p w14:paraId="5E585E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许惠莲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BDF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朱琳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49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C8F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吴海燕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29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李伟林</w:t>
            </w:r>
          </w:p>
        </w:tc>
      </w:tr>
    </w:tbl>
    <w:p w14:paraId="78D0A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32FFB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BE5D1"/>
    <w:multiLevelType w:val="singleLevel"/>
    <w:tmpl w:val="06FBE5D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0B3A95"/>
    <w:multiLevelType w:val="singleLevel"/>
    <w:tmpl w:val="580B3A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5448785"/>
    <w:multiLevelType w:val="singleLevel"/>
    <w:tmpl w:val="654487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MTEwNjdlMzY5NzA5N2I2NzQ3NDllNTU2ZjkxNDYifQ=="/>
  </w:docVars>
  <w:rsids>
    <w:rsidRoot w:val="50602908"/>
    <w:rsid w:val="08605832"/>
    <w:rsid w:val="1C571912"/>
    <w:rsid w:val="2F4D5A5F"/>
    <w:rsid w:val="32816D23"/>
    <w:rsid w:val="3B5C3FCA"/>
    <w:rsid w:val="50602908"/>
    <w:rsid w:val="5BB4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2"/>
    <w:basedOn w:val="1"/>
    <w:next w:val="1"/>
    <w:autoRedefine/>
    <w:qFormat/>
    <w:uiPriority w:val="0"/>
    <w:pPr>
      <w:spacing w:line="600" w:lineRule="exact"/>
      <w:ind w:firstLine="720" w:firstLineChars="200"/>
      <w:jc w:val="both"/>
      <w:textAlignment w:val="baseline"/>
    </w:pPr>
    <w:rPr>
      <w:rFonts w:ascii="Courier New" w:hAnsi="Courier New" w:eastAsia="楷体_GB2312"/>
      <w:b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2098</Words>
  <Characters>2159</Characters>
  <Lines>0</Lines>
  <Paragraphs>0</Paragraphs>
  <TotalTime>2</TotalTime>
  <ScaleCrop>false</ScaleCrop>
  <LinksUpToDate>false</LinksUpToDate>
  <CharactersWithSpaces>2162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2024-09-11T06:04:00Z</dcterms:created>
  <dc:creator>yun恽</dc:creator>
  <cp:lastModifiedBy>艳</cp:lastModifiedBy>
  <dcterms:modified xsi:type="dcterms:W3CDTF">2024-10-31T06:34:55Z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CDE5D840282342B0ACE33448810C5A87_13</vt:lpwstr>
  </property>
</Properties>
</file>