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C887FE">
      <w:pPr>
        <w:jc w:val="center"/>
        <w:rPr>
          <w:rFonts w:hint="default"/>
          <w:b/>
          <w:bCs/>
          <w:color w:val="FF0000"/>
          <w:sz w:val="21"/>
          <w:szCs w:val="21"/>
          <w:lang w:val="en-US"/>
        </w:rPr>
      </w:pPr>
      <w:r>
        <w:rPr>
          <w:rFonts w:hint="eastAsia"/>
          <w:b/>
          <w:bCs/>
          <w:sz w:val="30"/>
          <w:szCs w:val="30"/>
          <w:lang w:val="en-US" w:eastAsia="zh-CN"/>
        </w:rPr>
        <w:t>新北区小学语文教学谢攀优秀教师培育室活动记录表</w:t>
      </w:r>
    </w:p>
    <w:tbl>
      <w:tblPr>
        <w:tblStyle w:val="5"/>
        <w:tblpPr w:leftFromText="180" w:rightFromText="180" w:vertAnchor="page" w:horzAnchor="page" w:tblpX="1815" w:tblpY="208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4"/>
        <w:gridCol w:w="2526"/>
        <w:gridCol w:w="1914"/>
        <w:gridCol w:w="2348"/>
      </w:tblGrid>
      <w:tr w14:paraId="1DA01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734" w:type="dxa"/>
            <w:noWrap w:val="0"/>
            <w:vAlign w:val="center"/>
          </w:tcPr>
          <w:p w14:paraId="55BC664E">
            <w:pPr>
              <w:jc w:val="center"/>
              <w:rPr>
                <w:rFonts w:hint="eastAsia"/>
                <w:b w:val="0"/>
                <w:bCs w:val="0"/>
                <w:sz w:val="21"/>
                <w:szCs w:val="21"/>
              </w:rPr>
            </w:pPr>
            <w:r>
              <w:rPr>
                <w:rFonts w:hint="eastAsia"/>
                <w:b w:val="0"/>
                <w:bCs w:val="0"/>
                <w:sz w:val="21"/>
                <w:szCs w:val="21"/>
              </w:rPr>
              <w:t>活动主题</w:t>
            </w:r>
          </w:p>
        </w:tc>
        <w:tc>
          <w:tcPr>
            <w:tcW w:w="6788" w:type="dxa"/>
            <w:gridSpan w:val="3"/>
            <w:noWrap w:val="0"/>
            <w:vAlign w:val="center"/>
          </w:tcPr>
          <w:p w14:paraId="1F6E92B0">
            <w:pPr>
              <w:jc w:val="center"/>
              <w:rPr>
                <w:rFonts w:hint="default" w:eastAsia="宋体"/>
                <w:b w:val="0"/>
                <w:bCs w:val="0"/>
                <w:sz w:val="21"/>
                <w:szCs w:val="21"/>
                <w:lang w:val="en-US" w:eastAsia="zh-CN"/>
              </w:rPr>
            </w:pPr>
            <w:r>
              <w:rPr>
                <w:rFonts w:hint="default" w:eastAsia="宋体"/>
                <w:b w:val="0"/>
                <w:bCs w:val="0"/>
                <w:sz w:val="21"/>
                <w:szCs w:val="21"/>
                <w:lang w:val="en-US" w:eastAsia="zh-CN"/>
              </w:rPr>
              <w:t>相约“研”语盛宴 探索教学新径</w:t>
            </w:r>
          </w:p>
        </w:tc>
      </w:tr>
      <w:tr w14:paraId="65E6A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734" w:type="dxa"/>
            <w:noWrap w:val="0"/>
            <w:vAlign w:val="center"/>
          </w:tcPr>
          <w:p w14:paraId="02A0EFB8">
            <w:pPr>
              <w:jc w:val="center"/>
              <w:rPr>
                <w:rFonts w:hint="eastAsia"/>
                <w:b w:val="0"/>
                <w:bCs w:val="0"/>
                <w:sz w:val="21"/>
                <w:szCs w:val="21"/>
              </w:rPr>
            </w:pPr>
            <w:r>
              <w:rPr>
                <w:rFonts w:hint="eastAsia"/>
                <w:b w:val="0"/>
                <w:bCs w:val="0"/>
                <w:sz w:val="21"/>
                <w:szCs w:val="21"/>
              </w:rPr>
              <w:t>主</w:t>
            </w:r>
            <w:r>
              <w:rPr>
                <w:rFonts w:hint="eastAsia"/>
                <w:b w:val="0"/>
                <w:bCs w:val="0"/>
                <w:sz w:val="21"/>
                <w:szCs w:val="21"/>
                <w:lang w:val="en-US" w:eastAsia="zh-CN"/>
              </w:rPr>
              <w:t xml:space="preserve"> </w:t>
            </w:r>
            <w:r>
              <w:rPr>
                <w:rFonts w:hint="eastAsia"/>
                <w:b w:val="0"/>
                <w:bCs w:val="0"/>
                <w:sz w:val="21"/>
                <w:szCs w:val="21"/>
              </w:rPr>
              <w:t>持</w:t>
            </w:r>
            <w:r>
              <w:rPr>
                <w:rFonts w:hint="eastAsia"/>
                <w:b w:val="0"/>
                <w:bCs w:val="0"/>
                <w:sz w:val="21"/>
                <w:szCs w:val="21"/>
                <w:lang w:val="en-US" w:eastAsia="zh-CN"/>
              </w:rPr>
              <w:t xml:space="preserve"> </w:t>
            </w:r>
            <w:r>
              <w:rPr>
                <w:rFonts w:hint="eastAsia"/>
                <w:b w:val="0"/>
                <w:bCs w:val="0"/>
                <w:sz w:val="21"/>
                <w:szCs w:val="21"/>
              </w:rPr>
              <w:t>人</w:t>
            </w:r>
          </w:p>
        </w:tc>
        <w:tc>
          <w:tcPr>
            <w:tcW w:w="2526" w:type="dxa"/>
            <w:noWrap w:val="0"/>
            <w:vAlign w:val="center"/>
          </w:tcPr>
          <w:p w14:paraId="7BDF4B9D">
            <w:pPr>
              <w:jc w:val="center"/>
              <w:rPr>
                <w:rFonts w:hint="default" w:eastAsia="宋体"/>
                <w:b w:val="0"/>
                <w:bCs w:val="0"/>
                <w:sz w:val="21"/>
                <w:szCs w:val="21"/>
                <w:lang w:val="en-US" w:eastAsia="zh-CN"/>
              </w:rPr>
            </w:pPr>
            <w:r>
              <w:rPr>
                <w:rFonts w:hint="eastAsia"/>
                <w:b w:val="0"/>
                <w:bCs w:val="0"/>
                <w:sz w:val="21"/>
                <w:szCs w:val="21"/>
                <w:lang w:val="en-US" w:eastAsia="zh-CN"/>
              </w:rPr>
              <w:t>谢攀</w:t>
            </w:r>
          </w:p>
        </w:tc>
        <w:tc>
          <w:tcPr>
            <w:tcW w:w="1914" w:type="dxa"/>
            <w:noWrap w:val="0"/>
            <w:vAlign w:val="center"/>
          </w:tcPr>
          <w:p w14:paraId="4603741F">
            <w:pPr>
              <w:jc w:val="center"/>
              <w:rPr>
                <w:rFonts w:hint="eastAsia"/>
                <w:b w:val="0"/>
                <w:bCs w:val="0"/>
                <w:sz w:val="21"/>
                <w:szCs w:val="21"/>
              </w:rPr>
            </w:pPr>
            <w:r>
              <w:rPr>
                <w:rFonts w:hint="eastAsia"/>
                <w:b w:val="0"/>
                <w:bCs w:val="0"/>
                <w:sz w:val="21"/>
                <w:szCs w:val="21"/>
              </w:rPr>
              <w:t>主</w:t>
            </w:r>
            <w:r>
              <w:rPr>
                <w:rFonts w:hint="eastAsia"/>
                <w:b w:val="0"/>
                <w:bCs w:val="0"/>
                <w:sz w:val="21"/>
                <w:szCs w:val="21"/>
                <w:lang w:val="en-US" w:eastAsia="zh-CN"/>
              </w:rPr>
              <w:t xml:space="preserve"> </w:t>
            </w:r>
            <w:r>
              <w:rPr>
                <w:rFonts w:hint="eastAsia"/>
                <w:b w:val="0"/>
                <w:bCs w:val="0"/>
                <w:sz w:val="21"/>
                <w:szCs w:val="21"/>
              </w:rPr>
              <w:t>讲</w:t>
            </w:r>
            <w:r>
              <w:rPr>
                <w:rFonts w:hint="eastAsia"/>
                <w:b w:val="0"/>
                <w:bCs w:val="0"/>
                <w:sz w:val="21"/>
                <w:szCs w:val="21"/>
                <w:lang w:val="en-US" w:eastAsia="zh-CN"/>
              </w:rPr>
              <w:t xml:space="preserve"> </w:t>
            </w:r>
            <w:r>
              <w:rPr>
                <w:rFonts w:hint="eastAsia"/>
                <w:b w:val="0"/>
                <w:bCs w:val="0"/>
                <w:sz w:val="21"/>
                <w:szCs w:val="21"/>
              </w:rPr>
              <w:t>人</w:t>
            </w:r>
          </w:p>
        </w:tc>
        <w:tc>
          <w:tcPr>
            <w:tcW w:w="2348" w:type="dxa"/>
            <w:noWrap w:val="0"/>
            <w:vAlign w:val="center"/>
          </w:tcPr>
          <w:p w14:paraId="114DA13A">
            <w:pPr>
              <w:jc w:val="center"/>
              <w:rPr>
                <w:rFonts w:hint="default" w:eastAsia="宋体"/>
                <w:b w:val="0"/>
                <w:bCs w:val="0"/>
                <w:sz w:val="21"/>
                <w:szCs w:val="21"/>
                <w:lang w:val="en-US" w:eastAsia="zh-CN"/>
              </w:rPr>
            </w:pPr>
            <w:r>
              <w:rPr>
                <w:rFonts w:hint="eastAsia"/>
                <w:b w:val="0"/>
                <w:bCs w:val="0"/>
                <w:sz w:val="21"/>
                <w:szCs w:val="21"/>
                <w:lang w:val="en-US" w:eastAsia="zh-CN"/>
              </w:rPr>
              <w:t>谢攀</w:t>
            </w:r>
          </w:p>
        </w:tc>
      </w:tr>
      <w:tr w14:paraId="396A7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1734" w:type="dxa"/>
            <w:noWrap w:val="0"/>
            <w:vAlign w:val="center"/>
          </w:tcPr>
          <w:p w14:paraId="076426C8">
            <w:pPr>
              <w:jc w:val="center"/>
              <w:rPr>
                <w:rFonts w:hint="eastAsia"/>
                <w:b w:val="0"/>
                <w:bCs w:val="0"/>
                <w:sz w:val="21"/>
                <w:szCs w:val="21"/>
              </w:rPr>
            </w:pPr>
            <w:r>
              <w:rPr>
                <w:rFonts w:hint="eastAsia"/>
                <w:b w:val="0"/>
                <w:bCs w:val="0"/>
                <w:sz w:val="21"/>
                <w:szCs w:val="21"/>
              </w:rPr>
              <w:t>活动时间</w:t>
            </w:r>
          </w:p>
        </w:tc>
        <w:tc>
          <w:tcPr>
            <w:tcW w:w="2526" w:type="dxa"/>
            <w:noWrap w:val="0"/>
            <w:vAlign w:val="center"/>
          </w:tcPr>
          <w:p w14:paraId="326956E7">
            <w:pPr>
              <w:jc w:val="center"/>
              <w:rPr>
                <w:rFonts w:hint="default" w:eastAsia="宋体"/>
                <w:b w:val="0"/>
                <w:bCs w:val="0"/>
                <w:sz w:val="21"/>
                <w:szCs w:val="21"/>
                <w:lang w:val="en-US" w:eastAsia="zh-CN"/>
              </w:rPr>
            </w:pPr>
            <w:r>
              <w:rPr>
                <w:rFonts w:hint="eastAsia" w:ascii="宋体" w:hAnsi="宋体" w:eastAsia="宋体" w:cs="宋体"/>
                <w:b w:val="0"/>
                <w:bCs w:val="0"/>
                <w:sz w:val="21"/>
                <w:szCs w:val="21"/>
                <w:lang w:val="en-US" w:eastAsia="zh-CN"/>
              </w:rPr>
              <w:t>2024.</w:t>
            </w:r>
            <w:r>
              <w:rPr>
                <w:rFonts w:hint="eastAsia" w:ascii="宋体" w:hAnsi="宋体" w:cs="宋体"/>
                <w:b w:val="0"/>
                <w:bCs w:val="0"/>
                <w:sz w:val="21"/>
                <w:szCs w:val="21"/>
                <w:lang w:val="en-US" w:eastAsia="zh-CN"/>
              </w:rPr>
              <w:t>9.26</w:t>
            </w:r>
          </w:p>
        </w:tc>
        <w:tc>
          <w:tcPr>
            <w:tcW w:w="1914" w:type="dxa"/>
            <w:noWrap w:val="0"/>
            <w:vAlign w:val="center"/>
          </w:tcPr>
          <w:p w14:paraId="2C94452D">
            <w:pPr>
              <w:jc w:val="center"/>
              <w:rPr>
                <w:rFonts w:hint="eastAsia"/>
                <w:b w:val="0"/>
                <w:bCs w:val="0"/>
                <w:sz w:val="21"/>
                <w:szCs w:val="21"/>
              </w:rPr>
            </w:pPr>
            <w:r>
              <w:rPr>
                <w:rFonts w:hint="eastAsia"/>
                <w:b w:val="0"/>
                <w:bCs w:val="0"/>
                <w:sz w:val="21"/>
                <w:szCs w:val="21"/>
              </w:rPr>
              <w:t>活动地点</w:t>
            </w:r>
          </w:p>
        </w:tc>
        <w:tc>
          <w:tcPr>
            <w:tcW w:w="2348" w:type="dxa"/>
            <w:noWrap w:val="0"/>
            <w:vAlign w:val="center"/>
          </w:tcPr>
          <w:p w14:paraId="78146B7E">
            <w:pPr>
              <w:jc w:val="center"/>
              <w:rPr>
                <w:rFonts w:hint="default" w:eastAsia="宋体"/>
                <w:b w:val="0"/>
                <w:bCs w:val="0"/>
                <w:sz w:val="21"/>
                <w:szCs w:val="21"/>
                <w:lang w:val="en-US" w:eastAsia="zh-CN"/>
              </w:rPr>
            </w:pPr>
            <w:r>
              <w:rPr>
                <w:rFonts w:hint="eastAsia"/>
                <w:b w:val="0"/>
                <w:bCs w:val="0"/>
                <w:sz w:val="21"/>
                <w:szCs w:val="21"/>
                <w:lang w:val="en-US" w:eastAsia="zh-CN"/>
              </w:rPr>
              <w:t>线上</w:t>
            </w:r>
          </w:p>
        </w:tc>
      </w:tr>
      <w:tr w14:paraId="6D754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4" w:hRule="atLeast"/>
        </w:trPr>
        <w:tc>
          <w:tcPr>
            <w:tcW w:w="1734" w:type="dxa"/>
            <w:noWrap w:val="0"/>
            <w:vAlign w:val="center"/>
          </w:tcPr>
          <w:p w14:paraId="42645655">
            <w:pPr>
              <w:jc w:val="center"/>
              <w:rPr>
                <w:rFonts w:hint="eastAsia"/>
                <w:b w:val="0"/>
                <w:bCs w:val="0"/>
                <w:sz w:val="21"/>
                <w:szCs w:val="21"/>
              </w:rPr>
            </w:pPr>
            <w:r>
              <w:rPr>
                <w:rFonts w:hint="eastAsia"/>
                <w:b w:val="0"/>
                <w:bCs w:val="0"/>
                <w:sz w:val="21"/>
                <w:szCs w:val="21"/>
              </w:rPr>
              <w:t>参与教师</w:t>
            </w:r>
          </w:p>
        </w:tc>
        <w:tc>
          <w:tcPr>
            <w:tcW w:w="6788" w:type="dxa"/>
            <w:gridSpan w:val="3"/>
            <w:noWrap w:val="0"/>
            <w:vAlign w:val="center"/>
          </w:tcPr>
          <w:p w14:paraId="51110400">
            <w:pPr>
              <w:jc w:val="both"/>
              <w:rPr>
                <w:rFonts w:hint="default" w:eastAsia="宋体"/>
                <w:b w:val="0"/>
                <w:bCs w:val="0"/>
                <w:sz w:val="21"/>
                <w:szCs w:val="21"/>
                <w:lang w:val="en-US" w:eastAsia="zh-CN"/>
              </w:rPr>
            </w:pPr>
            <w:r>
              <w:rPr>
                <w:rFonts w:hint="eastAsia" w:eastAsia="宋体"/>
                <w:b w:val="0"/>
                <w:bCs w:val="0"/>
                <w:sz w:val="21"/>
                <w:szCs w:val="21"/>
                <w:lang w:val="en-US" w:eastAsia="zh-CN"/>
              </w:rPr>
              <w:t xml:space="preserve">谢攀 </w:t>
            </w:r>
            <w:r>
              <w:rPr>
                <w:rFonts w:hint="eastAsia"/>
                <w:b w:val="0"/>
                <w:bCs w:val="0"/>
                <w:sz w:val="21"/>
                <w:szCs w:val="21"/>
                <w:lang w:val="en-US" w:eastAsia="zh-CN"/>
              </w:rPr>
              <w:t>芮雯</w:t>
            </w:r>
            <w:r>
              <w:rPr>
                <w:rFonts w:hint="eastAsia" w:eastAsia="宋体"/>
                <w:b w:val="0"/>
                <w:bCs w:val="0"/>
                <w:sz w:val="21"/>
                <w:szCs w:val="21"/>
                <w:lang w:val="en-US" w:eastAsia="zh-CN"/>
              </w:rPr>
              <w:t xml:space="preserve"> 许阳 </w:t>
            </w:r>
            <w:r>
              <w:rPr>
                <w:rFonts w:hint="eastAsia"/>
                <w:b w:val="0"/>
                <w:bCs w:val="0"/>
                <w:sz w:val="21"/>
                <w:szCs w:val="21"/>
                <w:lang w:val="en-US" w:eastAsia="zh-CN"/>
              </w:rPr>
              <w:t xml:space="preserve">徐娴 </w:t>
            </w:r>
            <w:r>
              <w:rPr>
                <w:rFonts w:hint="eastAsia" w:eastAsia="宋体"/>
                <w:b w:val="0"/>
                <w:bCs w:val="0"/>
                <w:sz w:val="21"/>
                <w:szCs w:val="21"/>
                <w:lang w:val="en-US" w:eastAsia="zh-CN"/>
              </w:rPr>
              <w:t xml:space="preserve">高昕成 唐婧怡 </w:t>
            </w:r>
            <w:r>
              <w:rPr>
                <w:rFonts w:hint="eastAsia"/>
                <w:b w:val="0"/>
                <w:bCs w:val="0"/>
                <w:sz w:val="21"/>
                <w:szCs w:val="21"/>
                <w:lang w:val="en-US" w:eastAsia="zh-CN"/>
              </w:rPr>
              <w:t xml:space="preserve">郭婧依 </w:t>
            </w:r>
            <w:r>
              <w:rPr>
                <w:rFonts w:hint="eastAsia" w:eastAsia="宋体"/>
                <w:b w:val="0"/>
                <w:bCs w:val="0"/>
                <w:sz w:val="21"/>
                <w:szCs w:val="21"/>
                <w:lang w:val="en-US" w:eastAsia="zh-CN"/>
              </w:rPr>
              <w:t xml:space="preserve">巢肖琴 刘祯 曾丹萍 孔玉香 潘玲霞 宦欢 </w:t>
            </w:r>
            <w:r>
              <w:rPr>
                <w:rFonts w:hint="eastAsia"/>
                <w:b w:val="0"/>
                <w:bCs w:val="0"/>
                <w:sz w:val="21"/>
                <w:szCs w:val="21"/>
                <w:lang w:val="en-US" w:eastAsia="zh-CN"/>
              </w:rPr>
              <w:t xml:space="preserve">胡芯 </w:t>
            </w:r>
            <w:r>
              <w:rPr>
                <w:rFonts w:hint="eastAsia" w:eastAsia="宋体"/>
                <w:b w:val="0"/>
                <w:bCs w:val="0"/>
                <w:sz w:val="21"/>
                <w:szCs w:val="21"/>
                <w:lang w:val="en-US" w:eastAsia="zh-CN"/>
              </w:rPr>
              <w:t>李嘉浩</w:t>
            </w:r>
            <w:r>
              <w:rPr>
                <w:rFonts w:hint="eastAsia"/>
                <w:b w:val="0"/>
                <w:bCs w:val="0"/>
                <w:sz w:val="21"/>
                <w:szCs w:val="21"/>
                <w:lang w:val="en-US" w:eastAsia="zh-CN"/>
              </w:rPr>
              <w:t xml:space="preserve"> 翟绵纬</w:t>
            </w:r>
            <w:r>
              <w:rPr>
                <w:rFonts w:hint="eastAsia" w:eastAsia="宋体"/>
                <w:b w:val="0"/>
                <w:bCs w:val="0"/>
                <w:sz w:val="21"/>
                <w:szCs w:val="21"/>
                <w:lang w:val="en-US" w:eastAsia="zh-CN"/>
              </w:rPr>
              <w:t xml:space="preserve"> 周丁露</w:t>
            </w:r>
            <w:r>
              <w:rPr>
                <w:rFonts w:hint="eastAsia"/>
                <w:b w:val="0"/>
                <w:bCs w:val="0"/>
                <w:sz w:val="21"/>
                <w:szCs w:val="21"/>
                <w:lang w:val="en-US" w:eastAsia="zh-CN"/>
              </w:rPr>
              <w:t xml:space="preserve"> </w:t>
            </w:r>
            <w:r>
              <w:rPr>
                <w:rFonts w:hint="eastAsia" w:eastAsia="宋体"/>
                <w:b w:val="0"/>
                <w:bCs w:val="0"/>
                <w:sz w:val="21"/>
                <w:szCs w:val="21"/>
                <w:lang w:val="en-US" w:eastAsia="zh-CN"/>
              </w:rPr>
              <w:t xml:space="preserve">汤佳雯 </w:t>
            </w:r>
            <w:r>
              <w:rPr>
                <w:rFonts w:hint="eastAsia"/>
                <w:b w:val="0"/>
                <w:bCs w:val="0"/>
                <w:sz w:val="21"/>
                <w:szCs w:val="21"/>
                <w:lang w:val="en-US" w:eastAsia="zh-CN"/>
              </w:rPr>
              <w:t>王尹希</w:t>
            </w:r>
          </w:p>
        </w:tc>
      </w:tr>
      <w:tr w14:paraId="6DB3F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4" w:hRule="atLeast"/>
        </w:trPr>
        <w:tc>
          <w:tcPr>
            <w:tcW w:w="1734" w:type="dxa"/>
            <w:noWrap w:val="0"/>
            <w:vAlign w:val="top"/>
          </w:tcPr>
          <w:p w14:paraId="60733666">
            <w:pPr>
              <w:jc w:val="center"/>
              <w:rPr>
                <w:rFonts w:hint="eastAsia"/>
              </w:rPr>
            </w:pPr>
          </w:p>
          <w:p w14:paraId="4392B540">
            <w:pPr>
              <w:jc w:val="center"/>
              <w:rPr>
                <w:rFonts w:hint="eastAsia"/>
              </w:rPr>
            </w:pPr>
          </w:p>
          <w:p w14:paraId="6772E6B1">
            <w:pPr>
              <w:jc w:val="center"/>
              <w:rPr>
                <w:rFonts w:hint="eastAsia"/>
              </w:rPr>
            </w:pPr>
          </w:p>
          <w:p w14:paraId="7D8C960F">
            <w:pPr>
              <w:jc w:val="center"/>
              <w:rPr>
                <w:rFonts w:hint="eastAsia"/>
              </w:rPr>
            </w:pPr>
          </w:p>
          <w:p w14:paraId="36EAA38C">
            <w:pPr>
              <w:jc w:val="center"/>
              <w:rPr>
                <w:rFonts w:hint="eastAsia"/>
              </w:rPr>
            </w:pPr>
          </w:p>
          <w:p w14:paraId="4151533D">
            <w:pPr>
              <w:jc w:val="center"/>
              <w:rPr>
                <w:rFonts w:hint="eastAsia"/>
              </w:rPr>
            </w:pPr>
          </w:p>
          <w:p w14:paraId="53DDF0F6">
            <w:pPr>
              <w:jc w:val="center"/>
              <w:rPr>
                <w:rFonts w:hint="eastAsia"/>
              </w:rPr>
            </w:pPr>
          </w:p>
          <w:p w14:paraId="09786289">
            <w:pPr>
              <w:jc w:val="center"/>
              <w:rPr>
                <w:rFonts w:hint="eastAsia"/>
              </w:rPr>
            </w:pPr>
          </w:p>
          <w:p w14:paraId="128711C8">
            <w:pPr>
              <w:jc w:val="center"/>
              <w:rPr>
                <w:rFonts w:hint="eastAsia"/>
              </w:rPr>
            </w:pPr>
          </w:p>
          <w:p w14:paraId="7356863B">
            <w:pPr>
              <w:jc w:val="center"/>
              <w:rPr>
                <w:rFonts w:hint="eastAsia"/>
              </w:rPr>
            </w:pPr>
          </w:p>
          <w:p w14:paraId="615AB16B">
            <w:pPr>
              <w:jc w:val="center"/>
              <w:rPr>
                <w:rFonts w:hint="eastAsia"/>
              </w:rPr>
            </w:pPr>
          </w:p>
          <w:p w14:paraId="0040C158">
            <w:pPr>
              <w:jc w:val="center"/>
              <w:rPr>
                <w:rFonts w:hint="eastAsia"/>
                <w:b w:val="0"/>
                <w:bCs w:val="0"/>
                <w:lang w:val="en-US" w:eastAsia="zh-CN"/>
              </w:rPr>
            </w:pPr>
            <w:r>
              <w:rPr>
                <w:rFonts w:hint="eastAsia"/>
                <w:b w:val="0"/>
                <w:bCs w:val="0"/>
                <w:lang w:val="en-US" w:eastAsia="zh-CN"/>
              </w:rPr>
              <w:t>活</w:t>
            </w:r>
          </w:p>
          <w:p w14:paraId="7A120F95">
            <w:pPr>
              <w:jc w:val="center"/>
              <w:rPr>
                <w:rFonts w:hint="eastAsia"/>
                <w:b w:val="0"/>
                <w:bCs w:val="0"/>
                <w:lang w:val="en-US" w:eastAsia="zh-CN"/>
              </w:rPr>
            </w:pPr>
          </w:p>
          <w:p w14:paraId="7022D99A">
            <w:pPr>
              <w:jc w:val="center"/>
              <w:rPr>
                <w:rFonts w:hint="eastAsia"/>
                <w:b w:val="0"/>
                <w:bCs w:val="0"/>
                <w:lang w:val="en-US" w:eastAsia="zh-CN"/>
              </w:rPr>
            </w:pPr>
          </w:p>
          <w:p w14:paraId="5A20B1A4">
            <w:pPr>
              <w:jc w:val="center"/>
              <w:rPr>
                <w:rFonts w:hint="eastAsia"/>
                <w:b w:val="0"/>
                <w:bCs w:val="0"/>
                <w:lang w:val="en-US" w:eastAsia="zh-CN"/>
              </w:rPr>
            </w:pPr>
            <w:r>
              <w:rPr>
                <w:rFonts w:hint="eastAsia"/>
                <w:b w:val="0"/>
                <w:bCs w:val="0"/>
                <w:lang w:val="en-US" w:eastAsia="zh-CN"/>
              </w:rPr>
              <w:t>动</w:t>
            </w:r>
          </w:p>
          <w:p w14:paraId="5659A292">
            <w:pPr>
              <w:jc w:val="center"/>
              <w:rPr>
                <w:rFonts w:hint="eastAsia"/>
                <w:b w:val="0"/>
                <w:bCs w:val="0"/>
                <w:lang w:val="en-US" w:eastAsia="zh-CN"/>
              </w:rPr>
            </w:pPr>
          </w:p>
          <w:p w14:paraId="3B738009">
            <w:pPr>
              <w:jc w:val="center"/>
              <w:rPr>
                <w:rFonts w:hint="eastAsia"/>
                <w:b w:val="0"/>
                <w:bCs w:val="0"/>
                <w:lang w:val="en-US" w:eastAsia="zh-CN"/>
              </w:rPr>
            </w:pPr>
          </w:p>
          <w:p w14:paraId="22607FE5">
            <w:pPr>
              <w:jc w:val="center"/>
              <w:rPr>
                <w:rFonts w:hint="eastAsia"/>
                <w:b w:val="0"/>
                <w:bCs w:val="0"/>
                <w:lang w:val="en-US" w:eastAsia="zh-CN"/>
              </w:rPr>
            </w:pPr>
            <w:r>
              <w:rPr>
                <w:rFonts w:hint="eastAsia"/>
                <w:b w:val="0"/>
                <w:bCs w:val="0"/>
                <w:lang w:val="en-US" w:eastAsia="zh-CN"/>
              </w:rPr>
              <w:t>过</w:t>
            </w:r>
          </w:p>
          <w:p w14:paraId="702B35F6">
            <w:pPr>
              <w:jc w:val="center"/>
              <w:rPr>
                <w:rFonts w:hint="eastAsia"/>
                <w:b w:val="0"/>
                <w:bCs w:val="0"/>
                <w:lang w:val="en-US" w:eastAsia="zh-CN"/>
              </w:rPr>
            </w:pPr>
          </w:p>
          <w:p w14:paraId="21AC3044">
            <w:pPr>
              <w:jc w:val="center"/>
              <w:rPr>
                <w:rFonts w:hint="eastAsia"/>
                <w:b w:val="0"/>
                <w:bCs w:val="0"/>
                <w:lang w:val="en-US" w:eastAsia="zh-CN"/>
              </w:rPr>
            </w:pPr>
          </w:p>
          <w:p w14:paraId="51B1E6EC">
            <w:pPr>
              <w:jc w:val="center"/>
              <w:rPr>
                <w:rFonts w:hint="default"/>
                <w:lang w:val="en-US" w:eastAsia="zh-CN"/>
              </w:rPr>
            </w:pPr>
            <w:r>
              <w:rPr>
                <w:rFonts w:hint="eastAsia"/>
                <w:b w:val="0"/>
                <w:bCs w:val="0"/>
                <w:lang w:val="en-US" w:eastAsia="zh-CN"/>
              </w:rPr>
              <w:t>程</w:t>
            </w:r>
          </w:p>
        </w:tc>
        <w:tc>
          <w:tcPr>
            <w:tcW w:w="6788" w:type="dxa"/>
            <w:gridSpan w:val="3"/>
            <w:noWrap w:val="0"/>
            <w:vAlign w:val="top"/>
          </w:tcPr>
          <w:p w14:paraId="3B7277D9">
            <w:pPr>
              <w:widowControl w:val="0"/>
              <w:numPr>
                <w:ilvl w:val="0"/>
                <w:numId w:val="0"/>
              </w:numPr>
              <w:jc w:val="both"/>
              <w:rPr>
                <w:rFonts w:hint="eastAsia"/>
                <w:lang w:val="en-US" w:eastAsia="zh-CN"/>
              </w:rPr>
            </w:pPr>
          </w:p>
          <w:p w14:paraId="5F68F571">
            <w:pPr>
              <w:widowControl w:val="0"/>
              <w:numPr>
                <w:ilvl w:val="0"/>
                <w:numId w:val="1"/>
              </w:numPr>
              <w:jc w:val="both"/>
              <w:rPr>
                <w:rFonts w:hint="eastAsia"/>
                <w:b/>
                <w:bCs/>
                <w:lang w:val="en-US" w:eastAsia="zh-CN"/>
              </w:rPr>
            </w:pPr>
            <w:r>
              <w:rPr>
                <w:rFonts w:hint="eastAsia"/>
                <w:b/>
                <w:bCs/>
                <w:lang w:val="en-US" w:eastAsia="zh-CN"/>
              </w:rPr>
              <w:t>缤纷课堂：展名师教学风采</w:t>
            </w:r>
          </w:p>
          <w:p w14:paraId="3EE634B3">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9月26日上午，史春妍和曹爱卫两位特级教师以同课异构的方式展示了一年级新教材新增篇目《两件宝》课堂教学。史老师让学生利用两件宝在圆里画画，激发学生的想象力，同时引导学生理解“创造”的含义；曹老师以巧妙的活动设计串联朗读识字、内化理解和交流表达等教学环节，不仅注重培养学生朗读、倾听的习惯，而且联系生活实际帮助学生识字和表达，让学生有话可说，课堂氛围轻松愉快。</w:t>
            </w:r>
          </w:p>
          <w:p w14:paraId="55528C45">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9月26日下午，全国著名特级教师薛法根执教六年级上册《穷人》一课。他围绕“小说家是怎样让人物形象活在读者心里的”这一任务，聚焦主人公桑娜，带领学生探究“反常”的原因，通过感知人物内心矛盾活化人物形象，激荡起学生思维与情感的火花；江苏省特级教师魏星带来《金色的鱼钩》课堂教学。他立足单元整体，勾连学生已有的学习经验，抓住课文中的矛盾之处，为学生搭建学习支架，引导学生通过自主学习感知人物内心，深度体会红军的顽强与长征的艰难，让整节课闪烁着思想的光辉。</w:t>
            </w:r>
          </w:p>
          <w:p w14:paraId="2B4421D4">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9月27日上午，特级教师王林波执教五年级上册《松鼠》一课。王老师的课堂幽默风趣，在口头表达与书面表达的反复训练中，提升了学生的语文素养和写作能力；随后，特级教师吴勇执教习作《介绍一种事物》，带领学生探索如何生动地描绘事物。</w:t>
            </w:r>
          </w:p>
          <w:p w14:paraId="427ABDCE">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eastAsia"/>
                <w:lang w:val="en-US" w:eastAsia="zh-CN"/>
              </w:rPr>
            </w:pPr>
            <w:r>
              <w:rPr>
                <w:rFonts w:hint="eastAsia"/>
                <w:lang w:val="en-US" w:eastAsia="zh-CN"/>
              </w:rPr>
              <w:t>9月27日下午，浙江省特级教师陈红梅执教《冀中的地道战》一课，通过示范快速阅读与关键词圈画技巧，利用阅读单作为支架组织学生绘制思维导图，直观呈现学习成果；扬中市实验小学优秀青年教师郭凯艳老师执教《天窗》一课，引导学生多层次、多维度和作者、文本对话，挖掘隐藏在文本背后的“情思”。</w:t>
            </w:r>
          </w:p>
          <w:p w14:paraId="1CB00915">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eastAsia"/>
                <w:lang w:val="en-US" w:eastAsia="zh-CN"/>
              </w:rPr>
            </w:pPr>
          </w:p>
          <w:p w14:paraId="7FF586E7">
            <w:pPr>
              <w:widowControl w:val="0"/>
              <w:numPr>
                <w:ilvl w:val="0"/>
                <w:numId w:val="0"/>
              </w:numPr>
              <w:jc w:val="both"/>
              <w:rPr>
                <w:rFonts w:hint="default"/>
                <w:b/>
                <w:bCs/>
                <w:lang w:val="en-US" w:eastAsia="zh-CN"/>
              </w:rPr>
            </w:pPr>
            <w:r>
              <w:rPr>
                <w:rFonts w:hint="eastAsia"/>
                <w:b/>
                <w:bCs/>
                <w:lang w:val="en-US" w:eastAsia="zh-CN"/>
              </w:rPr>
              <w:t>二、学术沙龙：思课堂理论深研</w:t>
            </w:r>
          </w:p>
          <w:p w14:paraId="7854C81A">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rPr>
                <w:rFonts w:hint="default"/>
                <w:lang w:val="en-US" w:eastAsia="zh-CN"/>
              </w:rPr>
            </w:pPr>
            <w:r>
              <w:rPr>
                <w:rFonts w:hint="default"/>
                <w:lang w:val="en-US" w:eastAsia="zh-CN"/>
              </w:rPr>
              <w:t>围绕当日课例，会场还举办了四次别开生面的学术沙龙活动：</w:t>
            </w:r>
          </w:p>
          <w:p w14:paraId="4265E03F">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rPr>
                <w:rFonts w:hint="default"/>
                <w:lang w:val="en-US" w:eastAsia="zh-CN"/>
              </w:rPr>
            </w:pPr>
            <w:r>
              <w:rPr>
                <w:rFonts w:hint="default"/>
                <w:lang w:val="en-US" w:eastAsia="zh-CN"/>
              </w:rPr>
              <w:t>薛法根、魏星、管建刚、沈玉芬四位名师进行学术沙龙《语文要素与学习任务群》，分别对“语文要素”这一概念进行了个性化的解读和阐述，并就如何转化语文要素提出了建设性的意见。张晨晖、史春妍、曹爱卫三位名师带来了学术沙龙《统编语文教材的“变”与“不变”》，集中讨论了统编教材的修订内容及其教学影响，强调了其在指导阅读和推动教学创新方面的功能，同时提倡尊重儿童的学习起点和认知规律，培养儿童的自主学习能力。何夏寿、吴勇、王林波、陈亚飞四位名师围绕两节习作课例，就《习作单元如何教更有效》展开研讨，提出从阅读中学方法，用方法去实践，是习作教学永恒的要义。王小毅、陈红梅、马晓霞、郭凯艳四位名师围绕《阅读策略的看得见，用得上》开展沙龙活动，强调老师要看得见文本的解读和学生的变化，学生要看得见自己和同伴在课堂上的成长，才能实现阅读速度和阅读品质齐发展。</w:t>
            </w:r>
          </w:p>
          <w:p w14:paraId="33DF2981">
            <w:pPr>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jc w:val="both"/>
              <w:textAlignment w:val="auto"/>
              <w:rPr>
                <w:rFonts w:hint="default"/>
                <w:lang w:val="en-US" w:eastAsia="zh-CN"/>
              </w:rPr>
            </w:pPr>
            <w:r>
              <w:rPr>
                <w:rFonts w:hint="default"/>
                <w:lang w:val="en-US" w:eastAsia="zh-CN"/>
              </w:rPr>
              <w:t>在各位名师幽默风趣且充满真知灼见的互动中，工作室成员逐渐找到了落实课标的依据与抓手，对不同类型单元不同的教学方式也产生了更多思考。</w:t>
            </w:r>
          </w:p>
          <w:p w14:paraId="02C998C1">
            <w:pPr>
              <w:widowControl w:val="0"/>
              <w:numPr>
                <w:ilvl w:val="0"/>
                <w:numId w:val="0"/>
              </w:numPr>
              <w:ind w:leftChars="0"/>
              <w:jc w:val="both"/>
              <w:rPr>
                <w:rFonts w:hint="default"/>
                <w:lang w:val="en-US" w:eastAsia="zh-CN"/>
              </w:rPr>
            </w:pPr>
          </w:p>
          <w:p w14:paraId="3A1542F4">
            <w:pPr>
              <w:widowControl w:val="0"/>
              <w:numPr>
                <w:ilvl w:val="0"/>
                <w:numId w:val="0"/>
              </w:numPr>
              <w:jc w:val="both"/>
              <w:rPr>
                <w:rFonts w:hint="default"/>
                <w:b/>
                <w:bCs/>
                <w:lang w:val="en-US" w:eastAsia="zh-CN"/>
              </w:rPr>
            </w:pPr>
            <w:r>
              <w:rPr>
                <w:rFonts w:hint="eastAsia"/>
                <w:b/>
                <w:bCs/>
                <w:lang w:val="en-US" w:eastAsia="zh-CN"/>
              </w:rPr>
              <w:t>三、专题报告：明教材修订方向</w:t>
            </w:r>
          </w:p>
          <w:p w14:paraId="24C04329">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default"/>
                <w:lang w:val="en-US" w:eastAsia="zh-CN"/>
              </w:rPr>
            </w:pPr>
            <w:r>
              <w:rPr>
                <w:rFonts w:hint="default"/>
                <w:lang w:val="en-US" w:eastAsia="zh-CN"/>
              </w:rPr>
              <w:t>为期三天的活动过程中，江苏省特级教师奚一琴、上海师范大学教授吴忠豪、北京师范大学教授吴欣歆、上海市特级教师景洪春、浙江省特级教师何必钻等专家名师纷纷围绕语文课程、“文学阅读与创意表达”任务群教学、写作教学转型、阅读策略教学等主题，作了专题报告。</w:t>
            </w:r>
          </w:p>
          <w:p w14:paraId="1A944715">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default"/>
                <w:lang w:val="en-US" w:eastAsia="zh-CN"/>
              </w:rPr>
            </w:pPr>
            <w:r>
              <w:rPr>
                <w:rFonts w:hint="default"/>
                <w:lang w:val="en-US" w:eastAsia="zh-CN"/>
              </w:rPr>
              <w:t>奚一琴老师以《心吻书香，向阅读更深处漫溯》为主题进行分享，从五个方面介绍扬中实验小学阅读进程，阐述了扬中实小“用书香充盈孩子的童年，用经典润泽孩子的心灵”的阅读教学理念。。他们分享了自己的教学技巧和策略，极大地提高了学生的学习兴趣和能力。</w:t>
            </w:r>
          </w:p>
          <w:p w14:paraId="688FBFE3">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default"/>
                <w:lang w:val="en-US" w:eastAsia="zh-CN"/>
              </w:rPr>
            </w:pPr>
            <w:r>
              <w:rPr>
                <w:rFonts w:hint="default"/>
                <w:lang w:val="en-US" w:eastAsia="zh-CN"/>
              </w:rPr>
              <w:t>吴忠豪教授作《构建实践型的语文课程——探索语文课程改革新路径》的精彩报告，指出语文学习应以学生的学习为主，以学生的实践活动为主线，以此来发展学生的素养。</w:t>
            </w:r>
          </w:p>
          <w:p w14:paraId="1FBA408D">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default"/>
                <w:lang w:val="en-US" w:eastAsia="zh-CN"/>
              </w:rPr>
            </w:pPr>
            <w:r>
              <w:rPr>
                <w:rFonts w:hint="default"/>
                <w:lang w:val="en-US" w:eastAsia="zh-CN"/>
              </w:rPr>
              <w:t>吴欣歆教授作《“文学阅读与创意表达”教学建议》学术讲座。她详细解读了新课标中“文学阅读与创意表达”任务群的教学提示，从学习主题、学习活动、教学评价等角度，指明了该任务群的“纲”和“魂”。景洪春老师在讲座《素养导向下的小学写作教学转型》中深度剖析“表达与交流”语文实践活动，强调了表达与交流在语文教学中的重要性。</w:t>
            </w:r>
          </w:p>
          <w:p w14:paraId="0AC8FE98">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default"/>
                <w:lang w:val="en-US" w:eastAsia="zh-CN"/>
              </w:rPr>
            </w:pPr>
            <w:r>
              <w:rPr>
                <w:rFonts w:hint="default"/>
                <w:lang w:val="en-US" w:eastAsia="zh-CN"/>
              </w:rPr>
              <w:t>何必钻老师作《从“读得懂”到“懂得读”——阅读策略教学的实践思考》的专题讲座，从阅读策略学理的时代价值、单元的编排理解、学习的误区纠偏和教学的课堂建议四个方面展开论述。</w:t>
            </w:r>
          </w:p>
          <w:p w14:paraId="7B0DA212">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default"/>
                <w:lang w:val="en-US" w:eastAsia="zh-CN"/>
              </w:rPr>
            </w:pPr>
            <w:r>
              <w:rPr>
                <w:rFonts w:hint="default"/>
                <w:lang w:val="en-US" w:eastAsia="zh-CN"/>
              </w:rPr>
              <w:t>专家们高屋建瓴的专题讲座，让成员们对教材修订的用意有了全新的认识，也为全体教师今后的教学探索指明了方向。</w:t>
            </w:r>
          </w:p>
          <w:p w14:paraId="71862749">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default"/>
                <w:lang w:val="en-US" w:eastAsia="zh-CN"/>
              </w:rPr>
            </w:pPr>
          </w:p>
          <w:p w14:paraId="7108110E">
            <w:pPr>
              <w:widowControl w:val="0"/>
              <w:numPr>
                <w:ilvl w:val="0"/>
                <w:numId w:val="0"/>
              </w:numPr>
              <w:jc w:val="both"/>
              <w:rPr>
                <w:rFonts w:hint="eastAsia"/>
                <w:b/>
                <w:bCs/>
                <w:lang w:val="en-US" w:eastAsia="zh-CN"/>
              </w:rPr>
            </w:pPr>
            <w:r>
              <w:rPr>
                <w:rFonts w:hint="eastAsia"/>
                <w:b/>
                <w:bCs/>
                <w:lang w:val="en-US" w:eastAsia="zh-CN"/>
              </w:rPr>
              <w:t>四、悉心学习：以所得应用实践</w:t>
            </w:r>
          </w:p>
          <w:p w14:paraId="3972C0B4">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both"/>
              <w:textAlignment w:val="auto"/>
              <w:rPr>
                <w:rFonts w:hint="default"/>
                <w:lang w:val="en-US" w:eastAsia="zh-CN"/>
              </w:rPr>
            </w:pPr>
            <w:r>
              <w:rPr>
                <w:rFonts w:hint="default"/>
                <w:lang w:val="en-US" w:eastAsia="zh-CN"/>
              </w:rPr>
              <w:t>活动过程中，培育室的成员们认真倾听、悉心记录，并根据自身见解，撰写了听课感悟。</w:t>
            </w:r>
          </w:p>
          <w:p w14:paraId="60BC0568">
            <w:pPr>
              <w:keepNext w:val="0"/>
              <w:keepLines w:val="0"/>
              <w:pageBreakBefore w:val="0"/>
              <w:widowControl w:val="0"/>
              <w:numPr>
                <w:ilvl w:val="0"/>
                <w:numId w:val="0"/>
              </w:numPr>
              <w:kinsoku/>
              <w:wordWrap/>
              <w:overflowPunct/>
              <w:topLinePunct w:val="0"/>
              <w:autoSpaceDE/>
              <w:autoSpaceDN/>
              <w:bidi w:val="0"/>
              <w:adjustRightInd/>
              <w:snapToGrid/>
              <w:ind w:firstLine="422" w:firstLineChars="200"/>
              <w:jc w:val="both"/>
              <w:textAlignment w:val="auto"/>
              <w:rPr>
                <w:rFonts w:hint="default"/>
                <w:lang w:val="en-US" w:eastAsia="zh-CN"/>
              </w:rPr>
            </w:pPr>
            <w:r>
              <w:rPr>
                <w:rFonts w:hint="default"/>
                <w:b/>
                <w:bCs/>
                <w:lang w:val="en-US" w:eastAsia="zh-CN"/>
              </w:rPr>
              <w:t>百丈中心小学 翟绵纬</w:t>
            </w:r>
            <w:r>
              <w:rPr>
                <w:rFonts w:hint="eastAsia"/>
                <w:lang w:val="en-US" w:eastAsia="zh-CN"/>
              </w:rPr>
              <w:t>：</w:t>
            </w:r>
            <w:r>
              <w:rPr>
                <w:rFonts w:hint="default"/>
                <w:lang w:val="en-US" w:eastAsia="zh-CN"/>
              </w:rPr>
              <w:t>课堂应该始终以学生为本，而不是搞一些花里胡哨的外壳，让它变成一个看热闹的场所。王林波老师这堂课真实、朴素，却又紧扣语文学习目标，让学生在轻松愉悦的学习环境中达到学习目的。词串教学循序渐进，帮助学生从整体上理解课文内容，梳理与松鼠有关的信息。写作单元中的课文是为写作服务的，它是一个范本，是学生掌握写作方法的良好示范。为了从“读”过渡到“写”，王老师让学生加上“像”字来改写第二个句子。从发现，到理解，再到训练，整个过程逐渐深入，学生的学习也自然流畅。</w:t>
            </w:r>
          </w:p>
          <w:p w14:paraId="416ED9E6">
            <w:pPr>
              <w:keepNext w:val="0"/>
              <w:keepLines w:val="0"/>
              <w:pageBreakBefore w:val="0"/>
              <w:widowControl w:val="0"/>
              <w:numPr>
                <w:ilvl w:val="0"/>
                <w:numId w:val="0"/>
              </w:numPr>
              <w:kinsoku/>
              <w:wordWrap/>
              <w:overflowPunct/>
              <w:topLinePunct w:val="0"/>
              <w:autoSpaceDE/>
              <w:autoSpaceDN/>
              <w:bidi w:val="0"/>
              <w:adjustRightInd/>
              <w:snapToGrid/>
              <w:ind w:firstLine="422" w:firstLineChars="200"/>
              <w:jc w:val="both"/>
              <w:textAlignment w:val="auto"/>
              <w:rPr>
                <w:rFonts w:hint="default"/>
                <w:lang w:val="en-US" w:eastAsia="zh-CN"/>
              </w:rPr>
            </w:pPr>
            <w:r>
              <w:rPr>
                <w:rFonts w:hint="default"/>
                <w:b/>
                <w:bCs/>
                <w:lang w:val="en-US" w:eastAsia="zh-CN"/>
              </w:rPr>
              <w:t>龙城小学 李嘉浩</w:t>
            </w:r>
            <w:r>
              <w:rPr>
                <w:rFonts w:hint="eastAsia"/>
                <w:lang w:val="en-US" w:eastAsia="zh-CN"/>
              </w:rPr>
              <w:t>：</w:t>
            </w:r>
            <w:r>
              <w:rPr>
                <w:rFonts w:hint="default"/>
                <w:lang w:val="en-US" w:eastAsia="zh-CN"/>
              </w:rPr>
              <w:t>亲其师，信其道，吴教授的讲座中最让我引起反思的便是教师本身对课文的解读部分。教师对文本的解读决定了学生理解的上限。在文本结构、语言形式、表达功能等文本解读范式视野下，挖掘课文中的思想内涵和哲理意蕴，引导学生思考文本背后的深层意义和价值追求显得尤为重要，这有助于培养学生的批判性思维和创造性思维能力。在课堂中，教师也不妨鼓励学生从多个角度对课文进行解读，如作者视角、读者视角、编者视角等，培养学生的多元思维和批判性思维能力。在读写结合上将课文解读与写作训练相结合，通过仿写、续写、改写等方式，将学到的语言知识和表达技巧运用到实际写作中去，更有助于学生巩固所学知识，提高写作能力。</w:t>
            </w:r>
          </w:p>
          <w:p w14:paraId="5845C29B">
            <w:pPr>
              <w:keepNext w:val="0"/>
              <w:keepLines w:val="0"/>
              <w:pageBreakBefore w:val="0"/>
              <w:widowControl w:val="0"/>
              <w:numPr>
                <w:ilvl w:val="0"/>
                <w:numId w:val="0"/>
              </w:numPr>
              <w:kinsoku/>
              <w:wordWrap/>
              <w:overflowPunct/>
              <w:topLinePunct w:val="0"/>
              <w:autoSpaceDE/>
              <w:autoSpaceDN/>
              <w:bidi w:val="0"/>
              <w:adjustRightInd/>
              <w:snapToGrid/>
              <w:ind w:firstLine="422" w:firstLineChars="200"/>
              <w:jc w:val="both"/>
              <w:textAlignment w:val="auto"/>
              <w:rPr>
                <w:rFonts w:hint="default"/>
                <w:lang w:val="en-US" w:eastAsia="zh-CN"/>
              </w:rPr>
            </w:pPr>
            <w:r>
              <w:rPr>
                <w:rFonts w:hint="default"/>
                <w:b/>
                <w:bCs/>
                <w:lang w:val="en-US" w:eastAsia="zh-CN"/>
              </w:rPr>
              <w:t>新龙湖实验小学 王尹希</w:t>
            </w:r>
            <w:r>
              <w:rPr>
                <w:rFonts w:hint="eastAsia"/>
                <w:lang w:val="en-US" w:eastAsia="zh-CN"/>
              </w:rPr>
              <w:t>：</w:t>
            </w:r>
            <w:r>
              <w:rPr>
                <w:rFonts w:hint="default"/>
                <w:lang w:val="en-US" w:eastAsia="zh-CN"/>
              </w:rPr>
              <w:t>王林波老师非常能调动学生情绪，课堂与学生生活紧密，学生在轻松的氛围中读写结合，提升了语文素养。《松鼠》是一篇文艺性说明文，王老师非常巧妙地引导学生“边读边想”。结合学生熟悉的明星图片，进行“清秀”“矫健”的学习，学生感受到这篇说明文是把松鼠当作人来写的这一特殊手法。松鼠夏夜的活动丰富多彩，用上“像”，引导学生将松鼠活动与自己的生活结合，感受生动形象的说明语言，再与前面一篇说明文对比，更感《松鼠》的生动，为后面运用方法写片段打下基础。</w:t>
            </w:r>
          </w:p>
          <w:p w14:paraId="583BC301">
            <w:pPr>
              <w:keepNext w:val="0"/>
              <w:keepLines w:val="0"/>
              <w:pageBreakBefore w:val="0"/>
              <w:widowControl w:val="0"/>
              <w:numPr>
                <w:ilvl w:val="0"/>
                <w:numId w:val="0"/>
              </w:numPr>
              <w:kinsoku/>
              <w:wordWrap/>
              <w:overflowPunct/>
              <w:topLinePunct w:val="0"/>
              <w:autoSpaceDE/>
              <w:autoSpaceDN/>
              <w:bidi w:val="0"/>
              <w:adjustRightInd/>
              <w:snapToGrid/>
              <w:ind w:firstLine="422" w:firstLineChars="200"/>
              <w:jc w:val="both"/>
              <w:textAlignment w:val="auto"/>
              <w:rPr>
                <w:rFonts w:hint="default"/>
                <w:lang w:val="en-US" w:eastAsia="zh-CN"/>
              </w:rPr>
            </w:pPr>
            <w:r>
              <w:rPr>
                <w:rFonts w:hint="default"/>
                <w:b/>
                <w:bCs/>
                <w:lang w:val="en-US" w:eastAsia="zh-CN"/>
              </w:rPr>
              <w:t>河海实验小学 芮雯</w:t>
            </w:r>
            <w:r>
              <w:rPr>
                <w:rFonts w:hint="eastAsia"/>
                <w:lang w:val="en-US" w:eastAsia="zh-CN"/>
              </w:rPr>
              <w:t>：</w:t>
            </w:r>
            <w:r>
              <w:rPr>
                <w:rFonts w:hint="default"/>
                <w:lang w:val="en-US" w:eastAsia="zh-CN"/>
              </w:rPr>
              <w:t>吴老师的《介绍一种事物》让我在习作教学方面有了许多思考：</w:t>
            </w:r>
          </w:p>
          <w:p w14:paraId="337C8F0A">
            <w:pPr>
              <w:keepNext w:val="0"/>
              <w:keepLines w:val="0"/>
              <w:pageBreakBefore w:val="0"/>
              <w:widowControl w:val="0"/>
              <w:numPr>
                <w:ilvl w:val="0"/>
                <w:numId w:val="2"/>
              </w:numPr>
              <w:kinsoku/>
              <w:wordWrap/>
              <w:overflowPunct/>
              <w:topLinePunct w:val="0"/>
              <w:autoSpaceDE/>
              <w:autoSpaceDN/>
              <w:bidi w:val="0"/>
              <w:adjustRightInd/>
              <w:snapToGrid/>
              <w:ind w:firstLine="420" w:firstLineChars="200"/>
              <w:jc w:val="both"/>
              <w:textAlignment w:val="auto"/>
              <w:rPr>
                <w:rFonts w:hint="default"/>
                <w:lang w:val="en-US" w:eastAsia="zh-CN"/>
              </w:rPr>
            </w:pPr>
            <w:r>
              <w:rPr>
                <w:rFonts w:hint="default"/>
                <w:lang w:val="en-US" w:eastAsia="zh-CN"/>
              </w:rPr>
              <w:t>任务层层递进，助思维进阶化吴老师从了解事物的概念、细化事物分类到介绍事物的方法再到介绍几方面特点的顺序，体现出任务的递进性，学生在每个任务中实践、习得，思维也在不断进阶提升。</w:t>
            </w:r>
          </w:p>
          <w:p w14:paraId="503BF132">
            <w:pPr>
              <w:keepNext w:val="0"/>
              <w:keepLines w:val="0"/>
              <w:pageBreakBefore w:val="0"/>
              <w:widowControl w:val="0"/>
              <w:numPr>
                <w:ilvl w:val="0"/>
                <w:numId w:val="2"/>
              </w:numPr>
              <w:kinsoku/>
              <w:wordWrap/>
              <w:overflowPunct/>
              <w:topLinePunct w:val="0"/>
              <w:autoSpaceDE/>
              <w:autoSpaceDN/>
              <w:bidi w:val="0"/>
              <w:adjustRightInd/>
              <w:snapToGrid/>
              <w:ind w:left="0" w:leftChars="0" w:firstLine="420" w:firstLineChars="200"/>
              <w:jc w:val="both"/>
              <w:textAlignment w:val="auto"/>
              <w:rPr>
                <w:rFonts w:hint="default"/>
                <w:lang w:val="en-US" w:eastAsia="zh-CN"/>
              </w:rPr>
            </w:pPr>
            <w:r>
              <w:rPr>
                <w:rFonts w:hint="default"/>
                <w:lang w:val="en-US" w:eastAsia="zh-CN"/>
              </w:rPr>
              <w:t>学习单巧妙用，让思维可视化学习单上使用思维导图，一步步帮助学生突破难点，由扶到放，将习作的框架、段落的构成从脑中落至笔尖，也让学生明白一篇文章如何形成。</w:t>
            </w:r>
          </w:p>
          <w:p w14:paraId="10B5A887">
            <w:pPr>
              <w:keepNext w:val="0"/>
              <w:keepLines w:val="0"/>
              <w:pageBreakBefore w:val="0"/>
              <w:widowControl w:val="0"/>
              <w:numPr>
                <w:ilvl w:val="0"/>
                <w:numId w:val="2"/>
              </w:numPr>
              <w:kinsoku/>
              <w:wordWrap/>
              <w:overflowPunct/>
              <w:topLinePunct w:val="0"/>
              <w:autoSpaceDE/>
              <w:autoSpaceDN/>
              <w:bidi w:val="0"/>
              <w:adjustRightInd/>
              <w:snapToGrid/>
              <w:ind w:left="0" w:leftChars="0" w:firstLine="420" w:firstLineChars="200"/>
              <w:jc w:val="both"/>
              <w:textAlignment w:val="auto"/>
              <w:rPr>
                <w:rFonts w:hint="default"/>
                <w:lang w:val="en-US" w:eastAsia="zh-CN"/>
              </w:rPr>
            </w:pPr>
            <w:r>
              <w:rPr>
                <w:rFonts w:hint="default"/>
                <w:lang w:val="en-US" w:eastAsia="zh-CN"/>
              </w:rPr>
              <w:t>例文对比推敲，促思维活跃化 课堂中，吴老师提供了例文，同时也利用了学生现场生成的作品资源，在反复对比中追问，帮助学生突破，将白描与彩绘的关系点透，并学会用关联词将白描和彩绘两种方法进行完美地融合。</w:t>
            </w:r>
          </w:p>
          <w:p w14:paraId="57684FF8">
            <w:pPr>
              <w:keepNext w:val="0"/>
              <w:keepLines w:val="0"/>
              <w:pageBreakBefore w:val="0"/>
              <w:widowControl w:val="0"/>
              <w:numPr>
                <w:ilvl w:val="0"/>
                <w:numId w:val="0"/>
              </w:numPr>
              <w:kinsoku/>
              <w:wordWrap/>
              <w:overflowPunct/>
              <w:topLinePunct w:val="0"/>
              <w:autoSpaceDE/>
              <w:autoSpaceDN/>
              <w:bidi w:val="0"/>
              <w:adjustRightInd/>
              <w:snapToGrid/>
              <w:ind w:firstLine="422" w:firstLineChars="200"/>
              <w:jc w:val="both"/>
              <w:textAlignment w:val="auto"/>
              <w:rPr>
                <w:rFonts w:hint="default"/>
                <w:lang w:val="en-US" w:eastAsia="zh-CN"/>
              </w:rPr>
            </w:pPr>
            <w:r>
              <w:rPr>
                <w:rFonts w:hint="default"/>
                <w:b/>
                <w:bCs/>
                <w:lang w:val="en-US" w:eastAsia="zh-CN"/>
              </w:rPr>
              <w:t>孟河实验小学 高昕成</w:t>
            </w:r>
            <w:r>
              <w:rPr>
                <w:rFonts w:hint="eastAsia"/>
                <w:lang w:val="en-US" w:eastAsia="zh-CN"/>
              </w:rPr>
              <w:t>：</w:t>
            </w:r>
            <w:r>
              <w:rPr>
                <w:rFonts w:hint="default"/>
                <w:lang w:val="en-US" w:eastAsia="zh-CN"/>
              </w:rPr>
              <w:t>认真聆听了魏老师执教的《金色的鱼钩》一课，受益匪浅。一是魏特在行课过程中紧紧扣住辨析“合理”与“不合理”之处，发现小说体裁中反复出现的情节冲突，引导学生思维走向思辨。二是层层递进，逐步体悟，感受老班长无私、忠诚的共产党员形象，理解“光芒”的深层含义。三是运用文本熏陶爱国情怀，通过红色题材课文落实立德树人根本任务。这都为我以后教学此类课文提供了思路与方向。</w:t>
            </w:r>
          </w:p>
          <w:p w14:paraId="0A370129">
            <w:pPr>
              <w:keepNext w:val="0"/>
              <w:keepLines w:val="0"/>
              <w:pageBreakBefore w:val="0"/>
              <w:widowControl w:val="0"/>
              <w:numPr>
                <w:ilvl w:val="0"/>
                <w:numId w:val="0"/>
              </w:numPr>
              <w:kinsoku/>
              <w:wordWrap/>
              <w:overflowPunct/>
              <w:topLinePunct w:val="0"/>
              <w:autoSpaceDE/>
              <w:autoSpaceDN/>
              <w:bidi w:val="0"/>
              <w:adjustRightInd/>
              <w:snapToGrid/>
              <w:ind w:firstLine="422" w:firstLineChars="200"/>
              <w:jc w:val="both"/>
              <w:textAlignment w:val="auto"/>
              <w:rPr>
                <w:rFonts w:hint="default"/>
                <w:lang w:val="en-US" w:eastAsia="zh-CN"/>
              </w:rPr>
            </w:pPr>
            <w:r>
              <w:rPr>
                <w:rFonts w:hint="default"/>
                <w:b/>
                <w:bCs/>
                <w:lang w:val="en-US" w:eastAsia="zh-CN"/>
              </w:rPr>
              <w:t>龙城小学 宦欢</w:t>
            </w:r>
            <w:r>
              <w:rPr>
                <w:rFonts w:hint="eastAsia"/>
                <w:lang w:val="en-US" w:eastAsia="zh-CN"/>
              </w:rPr>
              <w:t>：</w:t>
            </w:r>
            <w:r>
              <w:rPr>
                <w:rFonts w:hint="default"/>
                <w:lang w:val="en-US" w:eastAsia="zh-CN"/>
              </w:rPr>
              <w:t>作文教学一直是难啃的骨头，吴勇老师在《介绍一种事物》一课的教学，让我看到一种全新的思维——方法教学思维。以往我教这一文，基本都是引导学生从形状、性质、作用等不同角度来描写，可是如何描写却忽略了，吴勇老师引导学生用白描和彩绘两种方法进行介绍，白描时捕捉独特，彩绘时利用多种说明方法，并提供相关资料，通过在适当的地方进行彩绘的训练来提升学生写作能力。行课过程中，吴勇老师特别关注思维的引导，如：逆推思维、全面思考、前后联系等思维，切实提升了学生思维素养。</w:t>
            </w:r>
          </w:p>
          <w:p w14:paraId="385AFFDC">
            <w:pPr>
              <w:keepNext w:val="0"/>
              <w:keepLines w:val="0"/>
              <w:pageBreakBefore w:val="0"/>
              <w:widowControl w:val="0"/>
              <w:numPr>
                <w:ilvl w:val="0"/>
                <w:numId w:val="0"/>
              </w:numPr>
              <w:kinsoku/>
              <w:wordWrap/>
              <w:overflowPunct/>
              <w:topLinePunct w:val="0"/>
              <w:autoSpaceDE/>
              <w:autoSpaceDN/>
              <w:bidi w:val="0"/>
              <w:adjustRightInd/>
              <w:snapToGrid/>
              <w:ind w:firstLine="422" w:firstLineChars="200"/>
              <w:jc w:val="both"/>
              <w:textAlignment w:val="auto"/>
              <w:rPr>
                <w:rFonts w:hint="default"/>
                <w:lang w:val="en-US" w:eastAsia="zh-CN"/>
              </w:rPr>
            </w:pPr>
            <w:r>
              <w:rPr>
                <w:rFonts w:hint="default"/>
                <w:b/>
                <w:bCs/>
                <w:lang w:val="en-US" w:eastAsia="zh-CN"/>
              </w:rPr>
              <w:t>龙虎塘第二实验小学 许阳</w:t>
            </w:r>
            <w:r>
              <w:rPr>
                <w:rFonts w:hint="eastAsia"/>
                <w:lang w:val="en-US" w:eastAsia="zh-CN"/>
              </w:rPr>
              <w:t>：</w:t>
            </w:r>
            <w:r>
              <w:rPr>
                <w:rFonts w:hint="default"/>
                <w:lang w:val="en-US" w:eastAsia="zh-CN"/>
              </w:rPr>
              <w:t>史春妍老师的课堂极具亲和力，从孩子们感兴趣的卡通人物导入，符合孩子的年龄特征。她注重低年级的朗读指导、归类识字训练和说话训练。指导孩子读课文时词要连读，有节奏韵律；认识生字中的新部首，并联系生活拓展同部首字，增强识字兴趣；让学生用上连词练习表达，不断强化用一句完整的话来说话的表达习惯，培养了学生的语言能力。课堂中让孩子在圆上创造，调节了课堂气氛，激发了学生的想象力和创造力，培养了低年级孩子积极观察、感知生活的能力，在轻松活泼的氛围中习得技能。</w:t>
            </w:r>
            <w:bookmarkStart w:id="0" w:name="_GoBack"/>
            <w:bookmarkEnd w:id="0"/>
          </w:p>
          <w:p w14:paraId="394B8E77">
            <w:pPr>
              <w:keepNext w:val="0"/>
              <w:keepLines w:val="0"/>
              <w:pageBreakBefore w:val="0"/>
              <w:widowControl w:val="0"/>
              <w:numPr>
                <w:ilvl w:val="0"/>
                <w:numId w:val="0"/>
              </w:numPr>
              <w:kinsoku/>
              <w:wordWrap/>
              <w:overflowPunct/>
              <w:topLinePunct w:val="0"/>
              <w:autoSpaceDE/>
              <w:autoSpaceDN/>
              <w:bidi w:val="0"/>
              <w:adjustRightInd/>
              <w:snapToGrid/>
              <w:ind w:firstLine="422" w:firstLineChars="200"/>
              <w:jc w:val="both"/>
              <w:textAlignment w:val="auto"/>
              <w:rPr>
                <w:rFonts w:hint="default"/>
                <w:lang w:val="en-US" w:eastAsia="zh-CN"/>
              </w:rPr>
            </w:pPr>
            <w:r>
              <w:rPr>
                <w:rFonts w:hint="default"/>
                <w:b/>
                <w:bCs/>
                <w:lang w:val="en-US" w:eastAsia="zh-CN"/>
              </w:rPr>
              <w:t>龙虎塘实验小学  徐娴</w:t>
            </w:r>
            <w:r>
              <w:rPr>
                <w:rFonts w:hint="eastAsia"/>
                <w:lang w:val="en-US" w:eastAsia="zh-CN"/>
              </w:rPr>
              <w:t>：</w:t>
            </w:r>
            <w:r>
              <w:rPr>
                <w:rFonts w:hint="default"/>
                <w:lang w:val="en-US" w:eastAsia="zh-CN"/>
              </w:rPr>
              <w:t>曹老师《人有两个宝》的课堂氛围轻松愉悦，让学生真切地感受到了学习是一件快乐的事情。以识字为主题，注重学生学习习惯的培养：如学习方法的渗透，从“听我读”到“跟我读”，层层推进，有目的地培养学生的认真听和仔细读，毕竟好习惯，益终身。并且，由扶到放地指导学生自主识字：先以“件”字为例，拆字、组词，教方法，后续的“和”“做”等则让学生用方法，练方法。可以说，这是一节既扎实又有趣的低年级课堂。</w:t>
            </w:r>
          </w:p>
          <w:p w14:paraId="42ED3770">
            <w:pPr>
              <w:widowControl w:val="0"/>
              <w:numPr>
                <w:ilvl w:val="0"/>
                <w:numId w:val="0"/>
              </w:numPr>
              <w:jc w:val="right"/>
              <w:rPr>
                <w:rFonts w:hint="default"/>
                <w:lang w:val="en-US" w:eastAsia="zh-CN"/>
              </w:rPr>
            </w:pPr>
          </w:p>
          <w:p w14:paraId="234D0431">
            <w:pPr>
              <w:widowControl w:val="0"/>
              <w:numPr>
                <w:ilvl w:val="0"/>
                <w:numId w:val="0"/>
              </w:numPr>
              <w:jc w:val="right"/>
              <w:rPr>
                <w:rFonts w:hint="default"/>
                <w:lang w:val="en-US" w:eastAsia="zh-CN"/>
              </w:rPr>
            </w:pPr>
          </w:p>
          <w:p w14:paraId="12880E63">
            <w:pPr>
              <w:widowControl w:val="0"/>
              <w:numPr>
                <w:ilvl w:val="0"/>
                <w:numId w:val="0"/>
              </w:numPr>
              <w:jc w:val="right"/>
              <w:rPr>
                <w:rFonts w:hint="default"/>
                <w:lang w:val="en-US" w:eastAsia="zh-CN"/>
              </w:rPr>
            </w:pPr>
          </w:p>
          <w:p w14:paraId="4BE233F8">
            <w:pPr>
              <w:widowControl w:val="0"/>
              <w:numPr>
                <w:ilvl w:val="0"/>
                <w:numId w:val="0"/>
              </w:numPr>
              <w:jc w:val="right"/>
              <w:rPr>
                <w:rFonts w:hint="default"/>
                <w:lang w:val="en-US" w:eastAsia="zh-CN"/>
              </w:rPr>
            </w:pPr>
          </w:p>
          <w:p w14:paraId="06BDEB44">
            <w:pPr>
              <w:widowControl w:val="0"/>
              <w:numPr>
                <w:ilvl w:val="0"/>
                <w:numId w:val="0"/>
              </w:numPr>
              <w:jc w:val="right"/>
              <w:rPr>
                <w:rFonts w:hint="default"/>
                <w:lang w:val="en-US" w:eastAsia="zh-CN"/>
              </w:rPr>
            </w:pPr>
          </w:p>
          <w:p w14:paraId="58AF3D82">
            <w:pPr>
              <w:widowControl w:val="0"/>
              <w:numPr>
                <w:ilvl w:val="0"/>
                <w:numId w:val="0"/>
              </w:numPr>
              <w:jc w:val="right"/>
              <w:rPr>
                <w:rFonts w:hint="default"/>
                <w:lang w:val="en-US" w:eastAsia="zh-CN"/>
              </w:rPr>
            </w:pPr>
          </w:p>
          <w:p w14:paraId="33CB5E85">
            <w:pPr>
              <w:widowControl w:val="0"/>
              <w:numPr>
                <w:ilvl w:val="0"/>
                <w:numId w:val="0"/>
              </w:numPr>
              <w:jc w:val="both"/>
              <w:rPr>
                <w:rFonts w:hint="default"/>
                <w:lang w:val="en-US" w:eastAsia="zh-CN"/>
              </w:rPr>
            </w:pPr>
          </w:p>
        </w:tc>
      </w:tr>
    </w:tbl>
    <w:p w14:paraId="091D082C">
      <w:pPr>
        <w:rPr>
          <w:rFonts w:hint="eastAsia" w:eastAsia="宋体"/>
          <w:lang w:eastAsia="zh-CN"/>
        </w:rPr>
      </w:pPr>
    </w:p>
    <w:p w14:paraId="53FBCDD3">
      <w:pPr>
        <w:rPr>
          <w:rFonts w:hint="eastAsia" w:eastAsia="宋体"/>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3BDBD5"/>
    <w:multiLevelType w:val="singleLevel"/>
    <w:tmpl w:val="063BDBD5"/>
    <w:lvl w:ilvl="0" w:tentative="0">
      <w:start w:val="1"/>
      <w:numFmt w:val="decimal"/>
      <w:suff w:val="nothing"/>
      <w:lvlText w:val="%1、"/>
      <w:lvlJc w:val="left"/>
    </w:lvl>
  </w:abstractNum>
  <w:abstractNum w:abstractNumId="1">
    <w:nsid w:val="7AEAD6B0"/>
    <w:multiLevelType w:val="singleLevel"/>
    <w:tmpl w:val="7AEAD6B0"/>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0NjYxNmVjN2IzMWYzYTZhZGVlMTQzYmNiNjU0MzkifQ=="/>
  </w:docVars>
  <w:rsids>
    <w:rsidRoot w:val="3733204E"/>
    <w:rsid w:val="01542BA0"/>
    <w:rsid w:val="039321B2"/>
    <w:rsid w:val="08534388"/>
    <w:rsid w:val="0A3E54B7"/>
    <w:rsid w:val="13355841"/>
    <w:rsid w:val="1DD44941"/>
    <w:rsid w:val="32756410"/>
    <w:rsid w:val="3733204E"/>
    <w:rsid w:val="3C7E562F"/>
    <w:rsid w:val="4A4970F0"/>
    <w:rsid w:val="4B330924"/>
    <w:rsid w:val="602437C9"/>
    <w:rsid w:val="61A3723C"/>
    <w:rsid w:val="62621940"/>
    <w:rsid w:val="62CF4061"/>
    <w:rsid w:val="69DB32EB"/>
    <w:rsid w:val="718D2B11"/>
    <w:rsid w:val="77747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NOTE_Normal"/>
    <w:basedOn w:val="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3844</Words>
  <Characters>3863</Characters>
  <Lines>0</Lines>
  <Paragraphs>0</Paragraphs>
  <TotalTime>64</TotalTime>
  <ScaleCrop>false</ScaleCrop>
  <LinksUpToDate>false</LinksUpToDate>
  <CharactersWithSpaces>3895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2024-06-13T06:06:00Z</dcterms:created>
  <dc:creator>嘻嘻嘻</dc:creator>
  <cp:lastModifiedBy>修订</cp:lastModifiedBy>
  <dcterms:modified xsi:type="dcterms:W3CDTF">2024-10-22T01:29:53Z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E40E3671DEC24D9C842622C3505B5C08_13</vt:lpwstr>
  </property>
</Properties>
</file>